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701AE" w14:textId="77777777" w:rsidR="00C001FE" w:rsidRDefault="00C001FE" w:rsidP="00DB7078">
      <w:pPr>
        <w:jc w:val="both"/>
        <w:rPr>
          <w:b/>
          <w:sz w:val="28"/>
          <w:szCs w:val="28"/>
        </w:rPr>
      </w:pPr>
      <w:r w:rsidRPr="00C001FE">
        <w:rPr>
          <w:b/>
          <w:sz w:val="28"/>
          <w:szCs w:val="28"/>
        </w:rPr>
        <w:t>VICERECTORÍA DE INVESTIGACIÓN Y POSTGRADO</w:t>
      </w:r>
    </w:p>
    <w:p w14:paraId="1BF48AAD" w14:textId="2983DA0F" w:rsidR="00DB7078" w:rsidRPr="00C001FE" w:rsidRDefault="00DB7078" w:rsidP="00DB7078">
      <w:pPr>
        <w:jc w:val="both"/>
        <w:rPr>
          <w:b/>
          <w:sz w:val="28"/>
          <w:szCs w:val="28"/>
        </w:rPr>
      </w:pPr>
      <w:r>
        <w:rPr>
          <w:b/>
          <w:sz w:val="28"/>
          <w:szCs w:val="28"/>
        </w:rPr>
        <w:t>Dirección de Investigación e Innovación</w:t>
      </w:r>
    </w:p>
    <w:p w14:paraId="5A0857C3" w14:textId="77777777" w:rsidR="00C001FE" w:rsidRDefault="00C001FE" w:rsidP="00DB7078">
      <w:pPr>
        <w:jc w:val="both"/>
        <w:rPr>
          <w:sz w:val="28"/>
          <w:szCs w:val="28"/>
        </w:rPr>
      </w:pPr>
    </w:p>
    <w:p w14:paraId="42513B07" w14:textId="07D8CA2C" w:rsidR="00DB7078" w:rsidRDefault="00DB7078" w:rsidP="00DB7078">
      <w:pPr>
        <w:jc w:val="both"/>
        <w:rPr>
          <w:b/>
        </w:rPr>
      </w:pPr>
      <w:r>
        <w:rPr>
          <w:b/>
        </w:rPr>
        <w:t xml:space="preserve">                 </w:t>
      </w:r>
      <w:r w:rsidR="000B4917">
        <w:rPr>
          <w:b/>
        </w:rPr>
        <w:t>2</w:t>
      </w:r>
      <w:r>
        <w:rPr>
          <w:b/>
        </w:rPr>
        <w:t xml:space="preserve">° CONCURSO DE </w:t>
      </w:r>
      <w:r w:rsidRPr="00C001FE">
        <w:rPr>
          <w:b/>
        </w:rPr>
        <w:t>PROYECTO</w:t>
      </w:r>
      <w:r w:rsidR="000B4917">
        <w:rPr>
          <w:b/>
        </w:rPr>
        <w:t>S INTERNOS DE INVESTIGACIÓN 2018</w:t>
      </w:r>
    </w:p>
    <w:p w14:paraId="082261C0" w14:textId="77777777" w:rsidR="00DB7078" w:rsidRDefault="00DB7078" w:rsidP="00DB7078">
      <w:pPr>
        <w:jc w:val="both"/>
        <w:rPr>
          <w:b/>
        </w:rPr>
      </w:pPr>
    </w:p>
    <w:p w14:paraId="0534629B" w14:textId="45B778A6" w:rsidR="00DB7078" w:rsidRPr="00DB7078" w:rsidRDefault="00DB7078" w:rsidP="00DB7078">
      <w:pPr>
        <w:jc w:val="both"/>
        <w:rPr>
          <w:b/>
        </w:rPr>
      </w:pPr>
      <w:r w:rsidRPr="00DB7078">
        <w:rPr>
          <w:b/>
        </w:rPr>
        <w:t>Fundamentos:</w:t>
      </w:r>
    </w:p>
    <w:p w14:paraId="5EE3880B" w14:textId="7CC33936" w:rsidR="00DB7078" w:rsidRDefault="00DB7078" w:rsidP="00DB7078">
      <w:pPr>
        <w:jc w:val="both"/>
      </w:pPr>
      <w:r w:rsidRPr="00DB7078">
        <w:t xml:space="preserve">El desarrollo de </w:t>
      </w:r>
      <w:r>
        <w:t>la investigación en la U</w:t>
      </w:r>
      <w:r w:rsidRPr="00DB7078">
        <w:t>niversidad Bernardo O´Higgins</w:t>
      </w:r>
      <w:r>
        <w:t xml:space="preserve"> ha evidenciado una rápida evolución, a partir de la decisión institucional adoptada el año 2011 de potenciar dicha área. </w:t>
      </w:r>
    </w:p>
    <w:p w14:paraId="0A97CDEA" w14:textId="6E812F21" w:rsidR="00DB7078" w:rsidRDefault="00DB7078" w:rsidP="00DB7078">
      <w:pPr>
        <w:jc w:val="both"/>
      </w:pPr>
      <w:r>
        <w:t xml:space="preserve">De esta manera se ha ido conformando una masa crítica de académicos investigadores, nucleados en torno a los Centros de Investigación dependientes de la Dirección de Investigación, los Departamentos alojados en las Facultades y a nivel de las diferentes Escuelas. </w:t>
      </w:r>
    </w:p>
    <w:p w14:paraId="6CF9EABD" w14:textId="1E46AA00" w:rsidR="00DB7078" w:rsidRDefault="00DB7078" w:rsidP="00DB7078">
      <w:pPr>
        <w:jc w:val="both"/>
      </w:pPr>
      <w:r>
        <w:t xml:space="preserve">Junto a lo anterior, académicos jóvenes comienzan a manifestar su inquietud por avanzar en el campo de las investigaciones. </w:t>
      </w:r>
    </w:p>
    <w:p w14:paraId="347C43ED" w14:textId="074E8510" w:rsidR="00DB7078" w:rsidRDefault="00DB7078" w:rsidP="00DB7078">
      <w:pPr>
        <w:jc w:val="both"/>
      </w:pPr>
      <w:r>
        <w:t>Asimismo, es decisión instit</w:t>
      </w:r>
      <w:r w:rsidR="000C636E">
        <w:t>ucional</w:t>
      </w:r>
      <w:r>
        <w:t xml:space="preserve"> el avanzar cada vez más en una estrecha vinculación entre la investigación y la docencia de pre y postgrado, de modo de comprometer a los estudiantes en el desarrollo de labores de investigación, para de ese modo ir forjando nuevas vocaciones en esta materia y contribuir a una mejor y más completa formación en general de los estudiantes.</w:t>
      </w:r>
    </w:p>
    <w:p w14:paraId="6A537AD8" w14:textId="0A626B34" w:rsidR="000C636E" w:rsidRDefault="000C636E" w:rsidP="00DB7078">
      <w:pPr>
        <w:jc w:val="both"/>
      </w:pPr>
      <w:r>
        <w:t>Por otra parte, el contexto externo del sistema de investigación a nivel nacional privilegia ciertos estándares para calificar y medir la productividad científica de las Universidades, cuestión que debe ser considerada por cada Universidad en particular.</w:t>
      </w:r>
    </w:p>
    <w:p w14:paraId="7CB7629C" w14:textId="7D36A478" w:rsidR="000C636E" w:rsidRDefault="000C636E" w:rsidP="00DB7078">
      <w:pPr>
        <w:jc w:val="both"/>
      </w:pPr>
      <w:r>
        <w:t xml:space="preserve">Es también una política institucional el apoyar permanentemente a sus académicos en su perfeccionamiento y desarrollo como tales, de modo de contar con un cuerpo docente de excelencia. </w:t>
      </w:r>
    </w:p>
    <w:p w14:paraId="7743D283" w14:textId="2BCBB4CB" w:rsidR="000C636E" w:rsidRDefault="000C636E" w:rsidP="00DB7078">
      <w:pPr>
        <w:jc w:val="both"/>
      </w:pPr>
      <w:r>
        <w:t>Finalmente, la Universidad analiza la experiencia de otras instituciones similares, más desarrolladas en el área de la investigación y aprende de sus buenas prácticas, que incluyen destinar fondos internos para el desarrollo de la investigación.</w:t>
      </w:r>
    </w:p>
    <w:p w14:paraId="40E3A4B7" w14:textId="234312F4" w:rsidR="000C636E" w:rsidRPr="00DB7078" w:rsidRDefault="000C636E" w:rsidP="00DB7078">
      <w:pPr>
        <w:jc w:val="both"/>
      </w:pPr>
      <w:r>
        <w:t>Sobre la base de todos esos antecedentes, la Universidad, por medio de la Vicerrectoría de Investigación y Postgrados, ha adoptado la decisión de crear un Concurso de Investigación interno, de carácter anual, destinado a sus académicos de planta, sobre la base de los factores que pasan a detallarse.</w:t>
      </w:r>
    </w:p>
    <w:p w14:paraId="7A10BBCF" w14:textId="77777777" w:rsidR="00EC57A9" w:rsidRDefault="00EC57A9" w:rsidP="00DB7078">
      <w:pPr>
        <w:jc w:val="both"/>
      </w:pPr>
    </w:p>
    <w:p w14:paraId="5F3ADF80" w14:textId="63D2D621" w:rsidR="000C636E" w:rsidRPr="000C636E" w:rsidRDefault="000C636E" w:rsidP="00DB7078">
      <w:pPr>
        <w:jc w:val="both"/>
        <w:rPr>
          <w:b/>
        </w:rPr>
      </w:pPr>
      <w:r w:rsidRPr="000C636E">
        <w:rPr>
          <w:b/>
        </w:rPr>
        <w:t>Orientaciones Generales:</w:t>
      </w:r>
    </w:p>
    <w:p w14:paraId="79A37520" w14:textId="77448C43" w:rsidR="000C636E" w:rsidRPr="00654DAD" w:rsidRDefault="000C636E" w:rsidP="00DB7078">
      <w:pPr>
        <w:jc w:val="both"/>
      </w:pPr>
      <w:r w:rsidRPr="00654DAD">
        <w:t>1.- El Concurso está destinado a fortalecer la capacidad investigativa de los académicos de planta de la Universidad.</w:t>
      </w:r>
    </w:p>
    <w:p w14:paraId="32EE33C3" w14:textId="615A5E78" w:rsidR="000C636E" w:rsidRPr="00654DAD" w:rsidRDefault="000C636E" w:rsidP="00DB7078">
      <w:pPr>
        <w:jc w:val="both"/>
      </w:pPr>
      <w:r w:rsidRPr="00654DAD">
        <w:t>2.-</w:t>
      </w:r>
      <w:r w:rsidR="00654DAD" w:rsidRPr="00654DAD">
        <w:t xml:space="preserve"> </w:t>
      </w:r>
      <w:r w:rsidRPr="00654DAD">
        <w:t>El Concurso busca generar productividad científica de la Universidad</w:t>
      </w:r>
      <w:r w:rsidR="00654DAD" w:rsidRPr="00654DAD">
        <w:t>.</w:t>
      </w:r>
    </w:p>
    <w:p w14:paraId="13BCA224" w14:textId="521BC7E7" w:rsidR="000C636E" w:rsidRPr="00654DAD" w:rsidRDefault="000C636E" w:rsidP="00DB7078">
      <w:pPr>
        <w:jc w:val="both"/>
      </w:pPr>
      <w:r w:rsidRPr="00654DAD">
        <w:t xml:space="preserve">3.- El Concurso estará orientado preferentemente a </w:t>
      </w:r>
      <w:r w:rsidR="00654DAD" w:rsidRPr="00654DAD">
        <w:t>potenciar futuras postulaciones a fondos concursables externos, especialmente los provenientes de la CONICYT.</w:t>
      </w:r>
    </w:p>
    <w:p w14:paraId="7C67F423" w14:textId="4C75CFF6" w:rsidR="00654DAD" w:rsidRPr="00654DAD" w:rsidRDefault="00654DAD" w:rsidP="00DB7078">
      <w:pPr>
        <w:jc w:val="both"/>
      </w:pPr>
      <w:r w:rsidRPr="00654DAD">
        <w:t>4.- El Concurso pretende fomentar el vínculo entre investigadores y estudiantes de pre y postgrado.</w:t>
      </w:r>
    </w:p>
    <w:p w14:paraId="77961DD2" w14:textId="0C97DC31" w:rsidR="001E303B" w:rsidRDefault="00654DAD" w:rsidP="00654DAD">
      <w:pPr>
        <w:jc w:val="both"/>
      </w:pPr>
      <w:r w:rsidRPr="00654DAD">
        <w:t xml:space="preserve">5.- El Concurso privilegiará el desarrollo de nuevos o jóvenes investigadores. </w:t>
      </w:r>
    </w:p>
    <w:p w14:paraId="38E70583" w14:textId="719A2082" w:rsidR="00654DAD" w:rsidRPr="004419D9" w:rsidRDefault="00654DAD" w:rsidP="00654DAD">
      <w:pPr>
        <w:jc w:val="both"/>
        <w:rPr>
          <w:b/>
        </w:rPr>
      </w:pPr>
      <w:r w:rsidRPr="004419D9">
        <w:rPr>
          <w:b/>
        </w:rPr>
        <w:lastRenderedPageBreak/>
        <w:t>Requisitos de postulación:</w:t>
      </w:r>
    </w:p>
    <w:p w14:paraId="5FCDD17C" w14:textId="2E1309B0" w:rsidR="00654DAD" w:rsidRPr="004419D9" w:rsidRDefault="00654DAD" w:rsidP="00654DAD">
      <w:pPr>
        <w:jc w:val="both"/>
      </w:pPr>
      <w:r w:rsidRPr="004419D9">
        <w:t xml:space="preserve">1.- </w:t>
      </w:r>
      <w:r w:rsidR="00E624B1" w:rsidRPr="004419D9">
        <w:t>Solo podrán postular académicos que estén contratados a lo me</w:t>
      </w:r>
      <w:r w:rsidRPr="004419D9">
        <w:t>nos por media jornada en la Universidad al momento de postular.</w:t>
      </w:r>
    </w:p>
    <w:p w14:paraId="7A241956" w14:textId="57D238BD" w:rsidR="00E624B1" w:rsidRDefault="00654DAD" w:rsidP="00654DAD">
      <w:pPr>
        <w:jc w:val="both"/>
      </w:pPr>
      <w:r w:rsidRPr="004419D9">
        <w:t xml:space="preserve">2.- </w:t>
      </w:r>
      <w:r w:rsidR="00E624B1" w:rsidRPr="004419D9">
        <w:t xml:space="preserve">Todo proyecto debe ser presentado por un investigador responsable y podrá incluir un coinvestigador. Como coinvestigador </w:t>
      </w:r>
      <w:r w:rsidR="002F2EAA" w:rsidRPr="004419D9">
        <w:t>podrán</w:t>
      </w:r>
      <w:r w:rsidR="00545429" w:rsidRPr="004419D9">
        <w:t xml:space="preserve"> participar profesores adjuntos </w:t>
      </w:r>
      <w:r w:rsidR="003D68DC" w:rsidRPr="004419D9">
        <w:t xml:space="preserve">o investigadores asociados </w:t>
      </w:r>
      <w:r w:rsidR="002F2EAA" w:rsidRPr="004419D9">
        <w:t>de la Universidad. La calidad de profesor adjunto será certificada por la Dirección de Administración Académica de pre o post grado, según corresponda. La calidad de investigador asociado será certificada por el Director de Investigación.</w:t>
      </w:r>
    </w:p>
    <w:p w14:paraId="3F2EFFE6" w14:textId="28727C96" w:rsidR="003074A7" w:rsidRPr="004419D9" w:rsidRDefault="003074A7" w:rsidP="003074A7">
      <w:pPr>
        <w:jc w:val="both"/>
      </w:pPr>
      <w:r>
        <w:t xml:space="preserve">3.- </w:t>
      </w:r>
      <w:r w:rsidRPr="004419D9">
        <w:t>Cada proye</w:t>
      </w:r>
      <w:r>
        <w:t>cto deberá individualizar d</w:t>
      </w:r>
      <w:r w:rsidRPr="004419D9">
        <w:t>os estudiantes de la Universidad, de p</w:t>
      </w:r>
      <w:r>
        <w:t>re o post grado, que participará</w:t>
      </w:r>
      <w:r w:rsidRPr="004419D9">
        <w:t>n del mismo, en calidad de ayudantes.</w:t>
      </w:r>
    </w:p>
    <w:p w14:paraId="6F01365A" w14:textId="3513E8D3" w:rsidR="00C113AA" w:rsidRPr="004419D9" w:rsidRDefault="003074A7" w:rsidP="00C113AA">
      <w:pPr>
        <w:jc w:val="both"/>
      </w:pPr>
      <w:r>
        <w:t>4</w:t>
      </w:r>
      <w:r w:rsidR="002F2EAA" w:rsidRPr="004419D9">
        <w:t>.- No podrán postular aquellos investigadores que al momento de la postulación se encuentren ejecutando proyectos financiados con recur</w:t>
      </w:r>
      <w:r w:rsidR="00C113AA">
        <w:t>sos provenientes de la CONICYT,</w:t>
      </w:r>
      <w:r w:rsidR="00C113AA" w:rsidRPr="00C113AA">
        <w:t xml:space="preserve"> </w:t>
      </w:r>
      <w:r w:rsidR="00C113AA">
        <w:t>en calidad de responsable/director o coinvestigador.</w:t>
      </w:r>
    </w:p>
    <w:p w14:paraId="58F3CBB8" w14:textId="7659456E" w:rsidR="00C323C6" w:rsidRDefault="00E12BBF" w:rsidP="002F2EAA">
      <w:pPr>
        <w:jc w:val="both"/>
      </w:pPr>
      <w:r w:rsidRPr="002E76FB">
        <w:t>5</w:t>
      </w:r>
      <w:r w:rsidR="0084667A" w:rsidRPr="002E76FB">
        <w:t>.- S</w:t>
      </w:r>
      <w:r w:rsidR="00E821A0" w:rsidRPr="002E76FB">
        <w:t xml:space="preserve">e podrá postular al año inmediatamente siguiente, </w:t>
      </w:r>
      <w:r w:rsidR="00C113AA" w:rsidRPr="002E76FB">
        <w:t>sin</w:t>
      </w:r>
      <w:r w:rsidR="00C113AA">
        <w:t xml:space="preserve"> embargo, su </w:t>
      </w:r>
      <w:r w:rsidR="00C323C6">
        <w:t>aprobación estará sujeta a la aceptación del informe final</w:t>
      </w:r>
      <w:r w:rsidR="00C113AA">
        <w:t xml:space="preserve"> del proyecto anterior</w:t>
      </w:r>
      <w:r w:rsidR="00C323C6">
        <w:t xml:space="preserve">. </w:t>
      </w:r>
    </w:p>
    <w:p w14:paraId="77A1910C" w14:textId="2ED37BA3" w:rsidR="00C323C6" w:rsidRDefault="00C323C6" w:rsidP="002F2EAA">
      <w:pPr>
        <w:jc w:val="both"/>
      </w:pPr>
      <w:r>
        <w:t>6.- Un investigador no podrá participar en más de dos proyectos internos. Si participa en dos proyectos, en uno de ellos deberá tener la calidad de</w:t>
      </w:r>
      <w:r w:rsidR="00834FA8">
        <w:t xml:space="preserve"> investigador r</w:t>
      </w:r>
      <w:r>
        <w:t>esponsable y de coinvestigador en el otro.</w:t>
      </w:r>
    </w:p>
    <w:p w14:paraId="77961D3A" w14:textId="2206732A" w:rsidR="002F2EAA" w:rsidRPr="004419D9" w:rsidRDefault="002F2EAA" w:rsidP="002F2EAA">
      <w:pPr>
        <w:jc w:val="both"/>
      </w:pPr>
    </w:p>
    <w:p w14:paraId="54EC2F55" w14:textId="2C9FE1B6" w:rsidR="002F2EAA" w:rsidRPr="004419D9" w:rsidRDefault="002F2EAA" w:rsidP="002F2EAA">
      <w:pPr>
        <w:jc w:val="both"/>
        <w:rPr>
          <w:b/>
        </w:rPr>
      </w:pPr>
      <w:r w:rsidRPr="004419D9">
        <w:rPr>
          <w:b/>
        </w:rPr>
        <w:t>Recursos</w:t>
      </w:r>
      <w:r w:rsidR="00E821A0" w:rsidRPr="004419D9">
        <w:rPr>
          <w:b/>
        </w:rPr>
        <w:t xml:space="preserve"> y Condiciones</w:t>
      </w:r>
      <w:r w:rsidRPr="004419D9">
        <w:rPr>
          <w:b/>
        </w:rPr>
        <w:t>:</w:t>
      </w:r>
    </w:p>
    <w:p w14:paraId="4A0060A3" w14:textId="77777777" w:rsidR="00625805" w:rsidRDefault="0034716C" w:rsidP="00DB7078">
      <w:pPr>
        <w:jc w:val="both"/>
      </w:pPr>
      <w:r w:rsidRPr="004419D9">
        <w:t xml:space="preserve">Los proyectos serán financiados con un tope máximo </w:t>
      </w:r>
      <w:r w:rsidRPr="00C269CD">
        <w:t>de $2.000.000</w:t>
      </w:r>
      <w:r w:rsidRPr="004419D9">
        <w:t xml:space="preserve"> (dos millones de pesos), con un limite de 10 meses de duración.</w:t>
      </w:r>
      <w:r w:rsidR="007606FC">
        <w:t xml:space="preserve"> </w:t>
      </w:r>
    </w:p>
    <w:p w14:paraId="33CC88B6" w14:textId="0B881C31" w:rsidR="007606FC" w:rsidRPr="004419D9" w:rsidRDefault="007606FC" w:rsidP="00DB7078">
      <w:pPr>
        <w:jc w:val="both"/>
      </w:pPr>
      <w:r>
        <w:t>En el presente Concurso existirá un máximo de 10 proyectos a financiar.</w:t>
      </w:r>
    </w:p>
    <w:p w14:paraId="42B0D455" w14:textId="6BE40A6E" w:rsidR="002F2EAA" w:rsidRDefault="002F2EAA" w:rsidP="00DB7078">
      <w:pPr>
        <w:jc w:val="both"/>
      </w:pPr>
      <w:r w:rsidRPr="004419D9">
        <w:t xml:space="preserve">Los proyectos pueden </w:t>
      </w:r>
      <w:r w:rsidR="00807EEE" w:rsidRPr="004419D9">
        <w:t>contempla</w:t>
      </w:r>
      <w:r w:rsidRPr="004419D9">
        <w:t>r</w:t>
      </w:r>
      <w:r w:rsidR="0034716C" w:rsidRPr="004419D9">
        <w:t xml:space="preserve"> gastos de operación (Servicios de computación, </w:t>
      </w:r>
      <w:r w:rsidR="006754B8" w:rsidRPr="004419D9">
        <w:t xml:space="preserve">material fungible, </w:t>
      </w:r>
      <w:r w:rsidR="0034716C" w:rsidRPr="004419D9">
        <w:t>insumos de laboratorio, fletes,</w:t>
      </w:r>
      <w:r w:rsidR="00807EEE" w:rsidRPr="004419D9">
        <w:t xml:space="preserve"> libros,</w:t>
      </w:r>
      <w:r w:rsidR="0034716C" w:rsidRPr="004419D9">
        <w:t xml:space="preserve"> inscripciones en congreso</w:t>
      </w:r>
      <w:r w:rsidRPr="004419D9">
        <w:t>s</w:t>
      </w:r>
      <w:r w:rsidR="0099060D" w:rsidRPr="004419D9">
        <w:t>)</w:t>
      </w:r>
      <w:r w:rsidRPr="004419D9">
        <w:t>, pasajes y viáticos</w:t>
      </w:r>
      <w:r w:rsidR="00807EEE" w:rsidRPr="004419D9">
        <w:t xml:space="preserve"> y honorarios</w:t>
      </w:r>
      <w:r w:rsidRPr="004419D9">
        <w:t xml:space="preserve">, estos </w:t>
      </w:r>
      <w:r w:rsidR="008A1848" w:rsidRPr="004419D9">
        <w:t>últimos solo</w:t>
      </w:r>
      <w:r w:rsidR="00807EEE" w:rsidRPr="004419D9">
        <w:t xml:space="preserve"> para </w:t>
      </w:r>
      <w:r w:rsidRPr="004419D9">
        <w:t xml:space="preserve">los ayudantes de investigación, </w:t>
      </w:r>
      <w:r w:rsidR="00807EEE" w:rsidRPr="004419D9">
        <w:t xml:space="preserve">no </w:t>
      </w:r>
      <w:r w:rsidR="0084667A">
        <w:t>pudiendo superar el 5</w:t>
      </w:r>
      <w:r w:rsidRPr="004419D9">
        <w:t>0% del total de gastos</w:t>
      </w:r>
      <w:r w:rsidR="006754B8" w:rsidRPr="004419D9">
        <w:t xml:space="preserve">. </w:t>
      </w:r>
    </w:p>
    <w:p w14:paraId="52EFBBED" w14:textId="35AC2A6E" w:rsidR="006754B8" w:rsidRPr="004419D9" w:rsidRDefault="006754B8" w:rsidP="00E821A0">
      <w:pPr>
        <w:jc w:val="both"/>
      </w:pPr>
      <w:r w:rsidRPr="004419D9">
        <w:t>No se podrá usar recursos en adquisición de mobiliario.</w:t>
      </w:r>
      <w:r w:rsidR="00E821A0" w:rsidRPr="004419D9">
        <w:t xml:space="preserve"> Los libros que se adquieran, una vez culminado el proyecto, pasarán a formar parte de la Biblioteca de Investigación y Postgrados.</w:t>
      </w:r>
    </w:p>
    <w:p w14:paraId="09C65009" w14:textId="5A37E02C" w:rsidR="00E821A0" w:rsidRPr="004419D9" w:rsidRDefault="00E821A0" w:rsidP="00E821A0">
      <w:pPr>
        <w:jc w:val="both"/>
      </w:pPr>
      <w:r w:rsidRPr="004419D9">
        <w:t>El investigador que se adjudique un proyecto deberá firmar un pagaré por el monto total de los recursos asignados, debiendo responder por los mismos si por cualquier motivo no culmina satisfactoriamente su proyecto. Esta obligación persistirá, no obstante cualquier variación contractual que experimente el investigador durante el transcurso del proyecto.</w:t>
      </w:r>
    </w:p>
    <w:p w14:paraId="3247B46A" w14:textId="5CC80408" w:rsidR="00E821A0" w:rsidRPr="004419D9" w:rsidRDefault="00E821A0" w:rsidP="00E821A0">
      <w:pPr>
        <w:jc w:val="both"/>
      </w:pPr>
      <w:r w:rsidRPr="004419D9">
        <w:t xml:space="preserve">Como parte de la ejecución satisfactoria del proyecto, se deberá demostrar el haber enviado </w:t>
      </w:r>
      <w:r w:rsidR="004419D9" w:rsidRPr="004419D9">
        <w:t xml:space="preserve">dentro del periodo de ejecución del proyecto, </w:t>
      </w:r>
      <w:r w:rsidRPr="004419D9">
        <w:t>a lo menos un artículo para publicación en una revista indexada (WOS o Scopus), con participación de estudiantes de pre</w:t>
      </w:r>
      <w:r w:rsidR="004419D9" w:rsidRPr="004419D9">
        <w:t xml:space="preserve"> o post </w:t>
      </w:r>
      <w:r w:rsidRPr="004419D9">
        <w:t>grado,</w:t>
      </w:r>
      <w:r w:rsidR="004419D9" w:rsidRPr="004419D9">
        <w:t xml:space="preserve"> debiendo</w:t>
      </w:r>
      <w:r w:rsidRPr="004419D9">
        <w:t xml:space="preserve"> llevar claramente ex</w:t>
      </w:r>
      <w:r w:rsidR="004419D9" w:rsidRPr="004419D9">
        <w:t xml:space="preserve">plícita la filiación de la Universidad </w:t>
      </w:r>
      <w:r w:rsidRPr="004419D9">
        <w:t>y el có</w:t>
      </w:r>
      <w:r w:rsidR="004419D9" w:rsidRPr="004419D9">
        <w:t>digo del proyecto interno que lo</w:t>
      </w:r>
      <w:r w:rsidRPr="004419D9">
        <w:t xml:space="preserve"> financia.</w:t>
      </w:r>
    </w:p>
    <w:p w14:paraId="215497B6" w14:textId="10A5ECC3" w:rsidR="00E821A0" w:rsidRDefault="00E821A0" w:rsidP="00E821A0">
      <w:pPr>
        <w:jc w:val="both"/>
      </w:pPr>
    </w:p>
    <w:p w14:paraId="4878B654" w14:textId="59F784EA" w:rsidR="004D2ADD" w:rsidRDefault="004D2ADD" w:rsidP="00E821A0">
      <w:pPr>
        <w:jc w:val="both"/>
      </w:pPr>
    </w:p>
    <w:p w14:paraId="07B2DB07" w14:textId="77777777" w:rsidR="004D2ADD" w:rsidRPr="004419D9" w:rsidRDefault="004D2ADD" w:rsidP="00E821A0">
      <w:pPr>
        <w:jc w:val="both"/>
      </w:pPr>
    </w:p>
    <w:p w14:paraId="642D6A51" w14:textId="3D548A34" w:rsidR="00E821A0" w:rsidRPr="004419D9" w:rsidRDefault="00E821A0" w:rsidP="00E821A0">
      <w:pPr>
        <w:jc w:val="both"/>
        <w:rPr>
          <w:b/>
        </w:rPr>
      </w:pPr>
      <w:r w:rsidRPr="004419D9">
        <w:rPr>
          <w:b/>
        </w:rPr>
        <w:lastRenderedPageBreak/>
        <w:t>Plazos:</w:t>
      </w:r>
    </w:p>
    <w:p w14:paraId="4AB0183C" w14:textId="0B140630" w:rsidR="00E821A0" w:rsidRPr="00C269CD" w:rsidRDefault="00DF2B12" w:rsidP="00E821A0">
      <w:pPr>
        <w:jc w:val="both"/>
      </w:pPr>
      <w:r w:rsidRPr="00C269CD">
        <w:t xml:space="preserve">Inicio de postulaciones: </w:t>
      </w:r>
      <w:r w:rsidR="00D431E7">
        <w:t>30</w:t>
      </w:r>
      <w:bookmarkStart w:id="0" w:name="_GoBack"/>
      <w:bookmarkEnd w:id="0"/>
      <w:r w:rsidRPr="00C269CD">
        <w:t xml:space="preserve"> de enero de 2018</w:t>
      </w:r>
    </w:p>
    <w:p w14:paraId="609E7FAD" w14:textId="5CD270B4" w:rsidR="00E821A0" w:rsidRPr="00C269CD" w:rsidRDefault="00C269CD" w:rsidP="00E821A0">
      <w:pPr>
        <w:jc w:val="both"/>
      </w:pPr>
      <w:r w:rsidRPr="00C269CD">
        <w:t>Cierre de postulaciones: 25</w:t>
      </w:r>
      <w:r w:rsidR="00E821A0" w:rsidRPr="00C269CD">
        <w:t xml:space="preserve"> de ma</w:t>
      </w:r>
      <w:r w:rsidR="00DF2B12" w:rsidRPr="00C269CD">
        <w:t>rzo de 2018</w:t>
      </w:r>
    </w:p>
    <w:p w14:paraId="3B94ED6F" w14:textId="17BFB457" w:rsidR="00E821A0" w:rsidRPr="00C269CD" w:rsidRDefault="00850598" w:rsidP="00E821A0">
      <w:pPr>
        <w:jc w:val="both"/>
      </w:pPr>
      <w:r w:rsidRPr="00C269CD">
        <w:t>Informe de adjudicac</w:t>
      </w:r>
      <w:r w:rsidR="00C269CD" w:rsidRPr="00C269CD">
        <w:t>ión: 09</w:t>
      </w:r>
      <w:r w:rsidR="00DF2B12" w:rsidRPr="00C269CD">
        <w:t xml:space="preserve"> de abril de 2018</w:t>
      </w:r>
    </w:p>
    <w:p w14:paraId="5B659024" w14:textId="3E3A7E06" w:rsidR="00E821A0" w:rsidRPr="00C269CD" w:rsidRDefault="00E821A0" w:rsidP="00E821A0">
      <w:pPr>
        <w:jc w:val="both"/>
      </w:pPr>
      <w:r w:rsidRPr="00C269CD">
        <w:t xml:space="preserve">Inicio de propuestas adjudicadas: </w:t>
      </w:r>
      <w:r w:rsidR="00C269CD" w:rsidRPr="00C269CD">
        <w:t>16</w:t>
      </w:r>
      <w:r w:rsidR="00336A78" w:rsidRPr="00C269CD">
        <w:t xml:space="preserve"> de abril de 2018</w:t>
      </w:r>
    </w:p>
    <w:p w14:paraId="6B474E32" w14:textId="05AB780F" w:rsidR="00086C3C" w:rsidRPr="00C269CD" w:rsidRDefault="00086C3C" w:rsidP="00E821A0">
      <w:pPr>
        <w:jc w:val="both"/>
      </w:pPr>
      <w:r w:rsidRPr="00C269CD">
        <w:t xml:space="preserve">Informe de avance: </w:t>
      </w:r>
      <w:r w:rsidR="00C8198D">
        <w:t>10</w:t>
      </w:r>
      <w:r w:rsidR="00CD700E" w:rsidRPr="00C269CD">
        <w:t xml:space="preserve"> de </w:t>
      </w:r>
      <w:r w:rsidR="00043931" w:rsidRPr="00C269CD">
        <w:t>septiembre</w:t>
      </w:r>
      <w:r w:rsidR="00CD700E" w:rsidRPr="00C269CD">
        <w:t xml:space="preserve"> de 2018</w:t>
      </w:r>
    </w:p>
    <w:p w14:paraId="2DBA6228" w14:textId="78012589" w:rsidR="00E821A0" w:rsidRPr="004419D9" w:rsidRDefault="00E821A0" w:rsidP="00E821A0">
      <w:pPr>
        <w:jc w:val="both"/>
      </w:pPr>
      <w:r w:rsidRPr="00C269CD">
        <w:t>Rendición fina</w:t>
      </w:r>
      <w:r w:rsidR="00336A78" w:rsidRPr="00C269CD">
        <w:t xml:space="preserve">l del </w:t>
      </w:r>
      <w:r w:rsidR="00C269CD" w:rsidRPr="00C269CD">
        <w:t>Proyecto: Fecha tope el 18</w:t>
      </w:r>
      <w:r w:rsidR="00336A78" w:rsidRPr="00C269CD">
        <w:t xml:space="preserve"> de febrero de 2019</w:t>
      </w:r>
    </w:p>
    <w:p w14:paraId="2EDC4931" w14:textId="77777777" w:rsidR="00E821A0" w:rsidRPr="004419D9" w:rsidRDefault="00E821A0" w:rsidP="00E821A0">
      <w:pPr>
        <w:jc w:val="both"/>
      </w:pPr>
    </w:p>
    <w:p w14:paraId="52095BB2" w14:textId="32A31867" w:rsidR="006754B8" w:rsidRPr="00AC58E4" w:rsidRDefault="00AC58E4" w:rsidP="00DB7078">
      <w:pPr>
        <w:jc w:val="both"/>
        <w:rPr>
          <w:b/>
        </w:rPr>
      </w:pPr>
      <w:r w:rsidRPr="00AC58E4">
        <w:rPr>
          <w:b/>
        </w:rPr>
        <w:t>Evaluación de los proyectos:</w:t>
      </w:r>
    </w:p>
    <w:p w14:paraId="1E819EF2" w14:textId="6835254B" w:rsidR="00AF5902" w:rsidRDefault="007606FC" w:rsidP="007606FC">
      <w:pPr>
        <w:jc w:val="both"/>
      </w:pPr>
      <w:r w:rsidRPr="007606FC">
        <w:t>Para la evaluación de los proyectos se utilizará la siguiente asignación de ponderaciones:</w:t>
      </w:r>
    </w:p>
    <w:p w14:paraId="59E4AF45" w14:textId="77777777" w:rsidR="007606FC" w:rsidRPr="007606FC" w:rsidRDefault="007606FC" w:rsidP="007606FC">
      <w:pPr>
        <w:jc w:val="both"/>
      </w:pPr>
    </w:p>
    <w:tbl>
      <w:tblPr>
        <w:tblW w:w="8915" w:type="dxa"/>
        <w:tblBorders>
          <w:top w:val="nil"/>
          <w:left w:val="nil"/>
          <w:right w:val="nil"/>
        </w:tblBorders>
        <w:tblLayout w:type="fixed"/>
        <w:tblLook w:val="0000" w:firstRow="0" w:lastRow="0" w:firstColumn="0" w:lastColumn="0" w:noHBand="0" w:noVBand="0"/>
      </w:tblPr>
      <w:tblGrid>
        <w:gridCol w:w="2195"/>
        <w:gridCol w:w="439"/>
        <w:gridCol w:w="4207"/>
        <w:gridCol w:w="1189"/>
        <w:gridCol w:w="885"/>
      </w:tblGrid>
      <w:tr w:rsidR="00AF5902" w14:paraId="6A32B7BC" w14:textId="77777777" w:rsidTr="00625805">
        <w:trPr>
          <w:trHeight w:val="532"/>
        </w:trPr>
        <w:tc>
          <w:tcPr>
            <w:tcW w:w="2195" w:type="dxa"/>
            <w:vMerge w:val="restart"/>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BB7D88"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Evaluación del proyecto </w:t>
            </w:r>
          </w:p>
        </w:tc>
        <w:tc>
          <w:tcPr>
            <w:tcW w:w="439" w:type="dxa"/>
            <w:vMerge w:val="restart"/>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CBBF85" w14:textId="77777777" w:rsidR="00AF5902" w:rsidRDefault="00AF5902" w:rsidP="00DB7078">
            <w:pPr>
              <w:widowControl w:val="0"/>
              <w:autoSpaceDE w:val="0"/>
              <w:autoSpaceDN w:val="0"/>
              <w:adjustRightInd w:val="0"/>
              <w:spacing w:line="280" w:lineRule="atLeast"/>
              <w:jc w:val="both"/>
              <w:rPr>
                <w:rFonts w:ascii="Times" w:hAnsi="Times" w:cs="Times"/>
                <w:lang w:val="es-ES"/>
              </w:rPr>
            </w:pPr>
            <w:r>
              <w:rPr>
                <w:rFonts w:ascii="Times" w:hAnsi="Times" w:cs="Times"/>
                <w:noProof/>
                <w:lang w:eastAsia="es-ES_tradnl"/>
              </w:rPr>
              <w:drawing>
                <wp:inline distT="0" distB="0" distL="0" distR="0" wp14:anchorId="52B0AEAE" wp14:editId="5F2A3794">
                  <wp:extent cx="10160" cy="1016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F7F278F"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1 </w:t>
            </w:r>
          </w:p>
        </w:tc>
        <w:tc>
          <w:tcPr>
            <w:tcW w:w="4207" w:type="dxa"/>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1D756A"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Calidad de la propuesta: </w:t>
            </w:r>
          </w:p>
        </w:tc>
        <w:tc>
          <w:tcPr>
            <w:tcW w:w="1189" w:type="dxa"/>
            <w:vMerge w:val="restart"/>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2E1C87" w14:textId="77777777" w:rsidR="00AF5902" w:rsidRDefault="00AF5902" w:rsidP="00DB7078">
            <w:pPr>
              <w:widowControl w:val="0"/>
              <w:autoSpaceDE w:val="0"/>
              <w:autoSpaceDN w:val="0"/>
              <w:adjustRightInd w:val="0"/>
              <w:spacing w:line="280" w:lineRule="atLeast"/>
              <w:jc w:val="both"/>
              <w:rPr>
                <w:rFonts w:ascii="Times" w:hAnsi="Times" w:cs="Times"/>
                <w:lang w:val="es-ES"/>
              </w:rPr>
            </w:pPr>
            <w:r>
              <w:rPr>
                <w:rFonts w:ascii="Times" w:hAnsi="Times" w:cs="Times"/>
                <w:noProof/>
                <w:lang w:eastAsia="es-ES_tradnl"/>
              </w:rPr>
              <w:drawing>
                <wp:inline distT="0" distB="0" distL="0" distR="0" wp14:anchorId="71A317F5" wp14:editId="18DB0120">
                  <wp:extent cx="10160" cy="10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0949A6" w14:textId="3D28416A" w:rsidR="00AF5902" w:rsidRDefault="0054677B"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5</w:t>
            </w:r>
            <w:r w:rsidR="00AF5902">
              <w:rPr>
                <w:rFonts w:ascii="Arial" w:hAnsi="Arial" w:cs="Arial"/>
                <w:b/>
                <w:bCs/>
                <w:sz w:val="26"/>
                <w:szCs w:val="26"/>
                <w:lang w:val="es-ES"/>
              </w:rPr>
              <w:t xml:space="preserve">0% </w:t>
            </w:r>
          </w:p>
        </w:tc>
        <w:tc>
          <w:tcPr>
            <w:tcW w:w="885" w:type="dxa"/>
            <w:vMerge w:val="restart"/>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B40A5" w14:textId="77777777" w:rsidR="00AF5902" w:rsidRDefault="00AF5902" w:rsidP="00DB7078">
            <w:pPr>
              <w:widowControl w:val="0"/>
              <w:autoSpaceDE w:val="0"/>
              <w:autoSpaceDN w:val="0"/>
              <w:adjustRightInd w:val="0"/>
              <w:spacing w:line="280" w:lineRule="atLeast"/>
              <w:jc w:val="both"/>
              <w:rPr>
                <w:rFonts w:ascii="Times" w:hAnsi="Times" w:cs="Times"/>
                <w:lang w:val="es-ES"/>
              </w:rPr>
            </w:pPr>
            <w:r>
              <w:rPr>
                <w:rFonts w:ascii="Times" w:hAnsi="Times" w:cs="Times"/>
                <w:noProof/>
                <w:lang w:eastAsia="es-ES_tradnl"/>
              </w:rPr>
              <w:drawing>
                <wp:inline distT="0" distB="0" distL="0" distR="0" wp14:anchorId="24C6EA7D" wp14:editId="7E1E8A48">
                  <wp:extent cx="10160" cy="101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3CBBD86" w14:textId="71A3A321" w:rsidR="00AF5902" w:rsidRDefault="0054677B"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85</w:t>
            </w:r>
            <w:r w:rsidR="00AF5902">
              <w:rPr>
                <w:rFonts w:ascii="Arial" w:hAnsi="Arial" w:cs="Arial"/>
                <w:b/>
                <w:bCs/>
                <w:sz w:val="26"/>
                <w:szCs w:val="26"/>
                <w:lang w:val="es-ES"/>
              </w:rPr>
              <w:t xml:space="preserve">% </w:t>
            </w:r>
          </w:p>
        </w:tc>
      </w:tr>
      <w:tr w:rsidR="00AF5902" w14:paraId="4D805399" w14:textId="77777777" w:rsidTr="00625805">
        <w:tblPrEx>
          <w:tblBorders>
            <w:top w:val="none" w:sz="0" w:space="0" w:color="auto"/>
          </w:tblBorders>
        </w:tblPrEx>
        <w:trPr>
          <w:trHeight w:val="1440"/>
        </w:trPr>
        <w:tc>
          <w:tcPr>
            <w:tcW w:w="2195" w:type="dxa"/>
            <w:vMerge/>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BFA374" w14:textId="77777777" w:rsidR="00AF5902" w:rsidRDefault="00AF5902" w:rsidP="00DB7078">
            <w:pPr>
              <w:widowControl w:val="0"/>
              <w:autoSpaceDE w:val="0"/>
              <w:autoSpaceDN w:val="0"/>
              <w:adjustRightInd w:val="0"/>
              <w:jc w:val="both"/>
              <w:rPr>
                <w:rFonts w:ascii="Times" w:hAnsi="Times" w:cs="Times"/>
                <w:lang w:val="es-ES"/>
              </w:rPr>
            </w:pPr>
          </w:p>
        </w:tc>
        <w:tc>
          <w:tcPr>
            <w:tcW w:w="439" w:type="dxa"/>
            <w:vMerge/>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EE7227" w14:textId="77777777" w:rsidR="00AF5902" w:rsidRDefault="00AF5902" w:rsidP="00DB7078">
            <w:pPr>
              <w:widowControl w:val="0"/>
              <w:autoSpaceDE w:val="0"/>
              <w:autoSpaceDN w:val="0"/>
              <w:adjustRightInd w:val="0"/>
              <w:jc w:val="both"/>
              <w:rPr>
                <w:rFonts w:ascii="Times" w:hAnsi="Times" w:cs="Times"/>
                <w:lang w:val="es-ES"/>
              </w:rPr>
            </w:pPr>
          </w:p>
        </w:tc>
        <w:tc>
          <w:tcPr>
            <w:tcW w:w="42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9E3A48" w14:textId="77777777" w:rsidR="00AF5902" w:rsidRPr="00AF5902" w:rsidRDefault="00AF5902" w:rsidP="00DB7078">
            <w:pPr>
              <w:widowControl w:val="0"/>
              <w:autoSpaceDE w:val="0"/>
              <w:autoSpaceDN w:val="0"/>
              <w:adjustRightInd w:val="0"/>
              <w:spacing w:after="240" w:line="300" w:lineRule="atLeast"/>
              <w:jc w:val="both"/>
              <w:rPr>
                <w:rFonts w:ascii="Arial" w:hAnsi="Arial" w:cs="Arial"/>
                <w:sz w:val="26"/>
                <w:szCs w:val="26"/>
                <w:lang w:val="es-ES"/>
              </w:rPr>
            </w:pPr>
            <w:r>
              <w:rPr>
                <w:rFonts w:ascii="Arial" w:hAnsi="Arial" w:cs="Arial"/>
                <w:sz w:val="26"/>
                <w:szCs w:val="26"/>
                <w:lang w:val="es-ES"/>
              </w:rPr>
              <w:t xml:space="preserve">Fundamentos teóricos conceptuales, hipótesis, objetivos, metodología, novedad científica o tecnológica de la propuesta y potencial impacto. </w:t>
            </w:r>
          </w:p>
        </w:tc>
        <w:tc>
          <w:tcPr>
            <w:tcW w:w="1189" w:type="dxa"/>
            <w:vMerge/>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2E9639" w14:textId="77777777" w:rsidR="00AF5902" w:rsidRDefault="00AF5902" w:rsidP="00DB7078">
            <w:pPr>
              <w:widowControl w:val="0"/>
              <w:autoSpaceDE w:val="0"/>
              <w:autoSpaceDN w:val="0"/>
              <w:adjustRightInd w:val="0"/>
              <w:jc w:val="both"/>
              <w:rPr>
                <w:rFonts w:ascii="Times" w:hAnsi="Times" w:cs="Times"/>
                <w:lang w:val="es-ES"/>
              </w:rPr>
            </w:pPr>
          </w:p>
        </w:tc>
        <w:tc>
          <w:tcPr>
            <w:tcW w:w="885" w:type="dxa"/>
            <w:vMerge/>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460025" w14:textId="77777777" w:rsidR="00AF5902" w:rsidRDefault="00AF5902" w:rsidP="00DB7078">
            <w:pPr>
              <w:widowControl w:val="0"/>
              <w:autoSpaceDE w:val="0"/>
              <w:autoSpaceDN w:val="0"/>
              <w:adjustRightInd w:val="0"/>
              <w:jc w:val="both"/>
              <w:rPr>
                <w:rFonts w:ascii="Times" w:hAnsi="Times" w:cs="Times"/>
                <w:lang w:val="es-ES"/>
              </w:rPr>
            </w:pPr>
          </w:p>
        </w:tc>
      </w:tr>
      <w:tr w:rsidR="00AF5902" w14:paraId="16F127C6" w14:textId="77777777" w:rsidTr="00625805">
        <w:tblPrEx>
          <w:tblBorders>
            <w:top w:val="none" w:sz="0" w:space="0" w:color="auto"/>
          </w:tblBorders>
        </w:tblPrEx>
        <w:trPr>
          <w:trHeight w:val="544"/>
        </w:trPr>
        <w:tc>
          <w:tcPr>
            <w:tcW w:w="2195" w:type="dxa"/>
            <w:vMerge/>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3EB59" w14:textId="77777777" w:rsidR="00AF5902" w:rsidRDefault="00AF5902" w:rsidP="00DB7078">
            <w:pPr>
              <w:widowControl w:val="0"/>
              <w:autoSpaceDE w:val="0"/>
              <w:autoSpaceDN w:val="0"/>
              <w:adjustRightInd w:val="0"/>
              <w:jc w:val="both"/>
              <w:rPr>
                <w:rFonts w:ascii="Times" w:hAnsi="Times" w:cs="Times"/>
                <w:lang w:val="es-ES"/>
              </w:rPr>
            </w:pPr>
          </w:p>
        </w:tc>
        <w:tc>
          <w:tcPr>
            <w:tcW w:w="439"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389C35"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2 </w:t>
            </w:r>
          </w:p>
        </w:tc>
        <w:tc>
          <w:tcPr>
            <w:tcW w:w="42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CD8626"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Viabilidad: </w:t>
            </w:r>
          </w:p>
        </w:tc>
        <w:tc>
          <w:tcPr>
            <w:tcW w:w="1189"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A06B64" w14:textId="0AE167A4" w:rsidR="00AF5902" w:rsidRDefault="0054677B"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35</w:t>
            </w:r>
            <w:r w:rsidR="00AF5902">
              <w:rPr>
                <w:rFonts w:ascii="Arial" w:hAnsi="Arial" w:cs="Arial"/>
                <w:b/>
                <w:bCs/>
                <w:sz w:val="26"/>
                <w:szCs w:val="26"/>
                <w:lang w:val="es-ES"/>
              </w:rPr>
              <w:t xml:space="preserve">% </w:t>
            </w:r>
          </w:p>
        </w:tc>
        <w:tc>
          <w:tcPr>
            <w:tcW w:w="885" w:type="dxa"/>
            <w:vMerge/>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44EAD1" w14:textId="77777777" w:rsidR="00AF5902" w:rsidRDefault="00AF5902" w:rsidP="00DB7078">
            <w:pPr>
              <w:widowControl w:val="0"/>
              <w:autoSpaceDE w:val="0"/>
              <w:autoSpaceDN w:val="0"/>
              <w:adjustRightInd w:val="0"/>
              <w:jc w:val="both"/>
              <w:rPr>
                <w:rFonts w:ascii="Times" w:hAnsi="Times" w:cs="Times"/>
                <w:lang w:val="es-ES"/>
              </w:rPr>
            </w:pPr>
          </w:p>
        </w:tc>
      </w:tr>
      <w:tr w:rsidR="00AF5902" w14:paraId="5EE7B407" w14:textId="77777777" w:rsidTr="00625805">
        <w:tblPrEx>
          <w:tblBorders>
            <w:top w:val="none" w:sz="0" w:space="0" w:color="auto"/>
          </w:tblBorders>
        </w:tblPrEx>
        <w:trPr>
          <w:trHeight w:val="1498"/>
        </w:trPr>
        <w:tc>
          <w:tcPr>
            <w:tcW w:w="2195" w:type="dxa"/>
            <w:vMerge/>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8F9439" w14:textId="77777777" w:rsidR="00AF5902" w:rsidRDefault="00AF5902" w:rsidP="00DB7078">
            <w:pPr>
              <w:widowControl w:val="0"/>
              <w:autoSpaceDE w:val="0"/>
              <w:autoSpaceDN w:val="0"/>
              <w:adjustRightInd w:val="0"/>
              <w:jc w:val="both"/>
              <w:rPr>
                <w:rFonts w:ascii="Times" w:hAnsi="Times" w:cs="Times"/>
                <w:lang w:val="es-ES"/>
              </w:rPr>
            </w:pPr>
          </w:p>
        </w:tc>
        <w:tc>
          <w:tcPr>
            <w:tcW w:w="439"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361882" w14:textId="77777777" w:rsidR="00AF5902" w:rsidRDefault="00AF5902" w:rsidP="00DB7078">
            <w:pPr>
              <w:widowControl w:val="0"/>
              <w:autoSpaceDE w:val="0"/>
              <w:autoSpaceDN w:val="0"/>
              <w:adjustRightInd w:val="0"/>
              <w:jc w:val="both"/>
              <w:rPr>
                <w:rFonts w:ascii="Times" w:hAnsi="Times" w:cs="Times"/>
                <w:lang w:val="es-ES"/>
              </w:rPr>
            </w:pPr>
          </w:p>
        </w:tc>
        <w:tc>
          <w:tcPr>
            <w:tcW w:w="42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573036"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sz w:val="26"/>
                <w:szCs w:val="26"/>
                <w:lang w:val="es-ES"/>
              </w:rPr>
              <w:t xml:space="preserve">Coherencia plan de trabajo/metodología/objetivos Factibilidad de la propuesta. Disponibilidad de recursos e infraestructura. </w:t>
            </w:r>
          </w:p>
        </w:tc>
        <w:tc>
          <w:tcPr>
            <w:tcW w:w="1189"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E13A31" w14:textId="77777777" w:rsidR="00AF5902" w:rsidRDefault="00AF5902" w:rsidP="00DB7078">
            <w:pPr>
              <w:widowControl w:val="0"/>
              <w:autoSpaceDE w:val="0"/>
              <w:autoSpaceDN w:val="0"/>
              <w:adjustRightInd w:val="0"/>
              <w:jc w:val="both"/>
              <w:rPr>
                <w:rFonts w:ascii="Times" w:hAnsi="Times" w:cs="Times"/>
                <w:lang w:val="es-ES"/>
              </w:rPr>
            </w:pPr>
          </w:p>
        </w:tc>
        <w:tc>
          <w:tcPr>
            <w:tcW w:w="885" w:type="dxa"/>
            <w:vMerge/>
            <w:tcBorders>
              <w:top w:val="single" w:sz="7"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825AF0" w14:textId="77777777" w:rsidR="00AF5902" w:rsidRDefault="00AF5902" w:rsidP="00DB7078">
            <w:pPr>
              <w:widowControl w:val="0"/>
              <w:autoSpaceDE w:val="0"/>
              <w:autoSpaceDN w:val="0"/>
              <w:adjustRightInd w:val="0"/>
              <w:jc w:val="both"/>
              <w:rPr>
                <w:rFonts w:ascii="Times" w:hAnsi="Times" w:cs="Times"/>
                <w:lang w:val="es-ES"/>
              </w:rPr>
            </w:pPr>
          </w:p>
        </w:tc>
      </w:tr>
      <w:tr w:rsidR="00AF5902" w14:paraId="68F0ABD9" w14:textId="77777777" w:rsidTr="00625805">
        <w:tblPrEx>
          <w:tblBorders>
            <w:top w:val="none" w:sz="0" w:space="0" w:color="auto"/>
          </w:tblBorders>
        </w:tblPrEx>
        <w:trPr>
          <w:trHeight w:val="816"/>
        </w:trPr>
        <w:tc>
          <w:tcPr>
            <w:tcW w:w="21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F260B5" w14:textId="4F00C4B4"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Evaluación curricular </w:t>
            </w:r>
            <w:r w:rsidR="007606FC">
              <w:rPr>
                <w:rFonts w:ascii="Arial" w:hAnsi="Arial" w:cs="Arial"/>
                <w:b/>
                <w:bCs/>
                <w:sz w:val="26"/>
                <w:szCs w:val="26"/>
                <w:lang w:val="es-ES"/>
              </w:rPr>
              <w:t>*</w:t>
            </w:r>
          </w:p>
        </w:tc>
        <w:tc>
          <w:tcPr>
            <w:tcW w:w="43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74FCBC"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3 </w:t>
            </w:r>
          </w:p>
        </w:tc>
        <w:tc>
          <w:tcPr>
            <w:tcW w:w="42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10913D"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sz w:val="26"/>
                <w:szCs w:val="26"/>
                <w:lang w:val="es-ES"/>
              </w:rPr>
              <w:t xml:space="preserve">Productividad Investigador(a) Responsable (en base a CV). </w:t>
            </w:r>
          </w:p>
        </w:tc>
        <w:tc>
          <w:tcPr>
            <w:tcW w:w="11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A09BF0"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100% </w:t>
            </w:r>
          </w:p>
        </w:tc>
        <w:tc>
          <w:tcPr>
            <w:tcW w:w="8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8B2AAB" w14:textId="5D4E1DFB" w:rsidR="00AF5902" w:rsidRDefault="0054677B"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15</w:t>
            </w:r>
            <w:r w:rsidR="00AF5902">
              <w:rPr>
                <w:rFonts w:ascii="Arial" w:hAnsi="Arial" w:cs="Arial"/>
                <w:b/>
                <w:bCs/>
                <w:sz w:val="26"/>
                <w:szCs w:val="26"/>
                <w:lang w:val="es-ES"/>
              </w:rPr>
              <w:t xml:space="preserve">% </w:t>
            </w:r>
          </w:p>
        </w:tc>
      </w:tr>
      <w:tr w:rsidR="00AF5902" w14:paraId="23C7F6DC" w14:textId="77777777" w:rsidTr="00625805">
        <w:trPr>
          <w:trHeight w:val="896"/>
        </w:trPr>
        <w:tc>
          <w:tcPr>
            <w:tcW w:w="21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D99D7" w14:textId="77777777" w:rsidR="00AF5902" w:rsidRDefault="00AF5902" w:rsidP="00DB7078">
            <w:pPr>
              <w:widowControl w:val="0"/>
              <w:autoSpaceDE w:val="0"/>
              <w:autoSpaceDN w:val="0"/>
              <w:adjustRightInd w:val="0"/>
              <w:spacing w:after="240" w:line="300" w:lineRule="atLeast"/>
              <w:jc w:val="both"/>
              <w:rPr>
                <w:rFonts w:ascii="Times" w:hAnsi="Times" w:cs="Times"/>
                <w:lang w:val="es-ES"/>
              </w:rPr>
            </w:pPr>
            <w:r>
              <w:rPr>
                <w:rFonts w:ascii="Arial" w:hAnsi="Arial" w:cs="Arial"/>
                <w:b/>
                <w:bCs/>
                <w:sz w:val="26"/>
                <w:szCs w:val="26"/>
                <w:lang w:val="es-ES"/>
              </w:rPr>
              <w:t xml:space="preserve">Total </w:t>
            </w:r>
          </w:p>
        </w:tc>
        <w:tc>
          <w:tcPr>
            <w:tcW w:w="43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03D087" w14:textId="77777777" w:rsidR="00AF5902" w:rsidRDefault="00AF5902" w:rsidP="00DB7078">
            <w:pPr>
              <w:widowControl w:val="0"/>
              <w:autoSpaceDE w:val="0"/>
              <w:autoSpaceDN w:val="0"/>
              <w:adjustRightInd w:val="0"/>
              <w:spacing w:line="280" w:lineRule="atLeast"/>
              <w:jc w:val="both"/>
              <w:rPr>
                <w:rFonts w:ascii="Times" w:hAnsi="Times" w:cs="Times"/>
                <w:lang w:val="es-ES"/>
              </w:rPr>
            </w:pPr>
            <w:r>
              <w:rPr>
                <w:rFonts w:ascii="Times" w:hAnsi="Times" w:cs="Times"/>
                <w:noProof/>
                <w:lang w:eastAsia="es-ES_tradnl"/>
              </w:rPr>
              <w:drawing>
                <wp:inline distT="0" distB="0" distL="0" distR="0" wp14:anchorId="74ABFA4B" wp14:editId="04ADFF1E">
                  <wp:extent cx="10160" cy="101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lang w:val="es-ES"/>
              </w:rPr>
              <w:t xml:space="preserve"> </w:t>
            </w:r>
          </w:p>
        </w:tc>
        <w:tc>
          <w:tcPr>
            <w:tcW w:w="42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63BBF6" w14:textId="77777777" w:rsidR="00AF5902" w:rsidRDefault="00AF5902" w:rsidP="00DB7078">
            <w:pPr>
              <w:widowControl w:val="0"/>
              <w:autoSpaceDE w:val="0"/>
              <w:autoSpaceDN w:val="0"/>
              <w:adjustRightInd w:val="0"/>
              <w:spacing w:line="280" w:lineRule="atLeast"/>
              <w:jc w:val="both"/>
              <w:rPr>
                <w:rFonts w:ascii="Times" w:hAnsi="Times" w:cs="Times"/>
                <w:lang w:val="es-ES"/>
              </w:rPr>
            </w:pPr>
          </w:p>
        </w:tc>
        <w:tc>
          <w:tcPr>
            <w:tcW w:w="118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2E9BF1" w14:textId="77777777" w:rsidR="00AF5902" w:rsidRDefault="00AF5902" w:rsidP="00DB7078">
            <w:pPr>
              <w:widowControl w:val="0"/>
              <w:autoSpaceDE w:val="0"/>
              <w:autoSpaceDN w:val="0"/>
              <w:adjustRightInd w:val="0"/>
              <w:spacing w:line="280" w:lineRule="atLeast"/>
              <w:jc w:val="both"/>
              <w:rPr>
                <w:rFonts w:ascii="Times" w:hAnsi="Times" w:cs="Times"/>
                <w:lang w:val="es-ES"/>
              </w:rPr>
            </w:pPr>
            <w:r>
              <w:rPr>
                <w:rFonts w:ascii="Times" w:hAnsi="Times" w:cs="Times"/>
                <w:noProof/>
                <w:lang w:eastAsia="es-ES_tradnl"/>
              </w:rPr>
              <w:drawing>
                <wp:inline distT="0" distB="0" distL="0" distR="0" wp14:anchorId="2220DCB8" wp14:editId="61C048DF">
                  <wp:extent cx="10160" cy="10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lang w:val="es-ES"/>
              </w:rPr>
              <w:t xml:space="preserve"> </w:t>
            </w:r>
          </w:p>
        </w:tc>
        <w:tc>
          <w:tcPr>
            <w:tcW w:w="8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2142A5" w14:textId="77777777" w:rsidR="00AF5902" w:rsidRDefault="00AF5902" w:rsidP="00DB7078">
            <w:pPr>
              <w:widowControl w:val="0"/>
              <w:autoSpaceDE w:val="0"/>
              <w:autoSpaceDN w:val="0"/>
              <w:adjustRightInd w:val="0"/>
              <w:spacing w:after="240" w:line="380" w:lineRule="atLeast"/>
              <w:jc w:val="both"/>
              <w:rPr>
                <w:rFonts w:ascii="Times" w:hAnsi="Times" w:cs="Times"/>
                <w:lang w:val="es-ES"/>
              </w:rPr>
            </w:pPr>
            <w:r>
              <w:rPr>
                <w:rFonts w:ascii="Calibri" w:hAnsi="Calibri" w:cs="Calibri"/>
                <w:b/>
                <w:bCs/>
                <w:sz w:val="32"/>
                <w:szCs w:val="32"/>
                <w:lang w:val="es-ES"/>
              </w:rPr>
              <w:t xml:space="preserve">100% </w:t>
            </w:r>
          </w:p>
          <w:p w14:paraId="5B068277" w14:textId="77777777" w:rsidR="00AF5902" w:rsidRDefault="00AF5902" w:rsidP="00DB7078">
            <w:pPr>
              <w:widowControl w:val="0"/>
              <w:autoSpaceDE w:val="0"/>
              <w:autoSpaceDN w:val="0"/>
              <w:adjustRightInd w:val="0"/>
              <w:spacing w:line="280" w:lineRule="atLeast"/>
              <w:jc w:val="both"/>
              <w:rPr>
                <w:rFonts w:ascii="Times" w:hAnsi="Times" w:cs="Times"/>
                <w:lang w:val="es-ES"/>
              </w:rPr>
            </w:pPr>
            <w:r>
              <w:rPr>
                <w:rFonts w:ascii="Times" w:hAnsi="Times" w:cs="Times"/>
                <w:noProof/>
                <w:lang w:eastAsia="es-ES_tradnl"/>
              </w:rPr>
              <w:drawing>
                <wp:inline distT="0" distB="0" distL="0" distR="0" wp14:anchorId="28B87E89" wp14:editId="48DB1A59">
                  <wp:extent cx="10160" cy="101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Times" w:hAnsi="Times" w:cs="Times"/>
                <w:lang w:val="es-ES"/>
              </w:rPr>
              <w:t xml:space="preserve"> </w:t>
            </w:r>
          </w:p>
        </w:tc>
      </w:tr>
    </w:tbl>
    <w:p w14:paraId="3EFD4EC6" w14:textId="7B7F095A" w:rsidR="007606FC" w:rsidRDefault="007606FC" w:rsidP="00625805">
      <w:pPr>
        <w:jc w:val="both"/>
        <w:rPr>
          <w:sz w:val="18"/>
          <w:szCs w:val="18"/>
        </w:rPr>
      </w:pPr>
      <w:r w:rsidRPr="007606FC">
        <w:rPr>
          <w:sz w:val="28"/>
          <w:szCs w:val="28"/>
        </w:rPr>
        <w:t xml:space="preserve"> * </w:t>
      </w:r>
      <w:r w:rsidR="00BD0555" w:rsidRPr="007606FC">
        <w:rPr>
          <w:sz w:val="18"/>
          <w:szCs w:val="18"/>
        </w:rPr>
        <w:t>Se evaluar</w:t>
      </w:r>
      <w:r w:rsidR="0099060D" w:rsidRPr="007606FC">
        <w:rPr>
          <w:sz w:val="18"/>
          <w:szCs w:val="18"/>
        </w:rPr>
        <w:t>á</w:t>
      </w:r>
      <w:r w:rsidR="00BD0555" w:rsidRPr="007606FC">
        <w:rPr>
          <w:sz w:val="18"/>
          <w:szCs w:val="18"/>
        </w:rPr>
        <w:t xml:space="preserve"> los antecedentes curriculares del investigador responsable respecto de su capacidad y productividad en los últimos 5 años.</w:t>
      </w:r>
      <w:r>
        <w:rPr>
          <w:sz w:val="18"/>
          <w:szCs w:val="18"/>
        </w:rPr>
        <w:t xml:space="preserve"> </w:t>
      </w:r>
      <w:r w:rsidRPr="007606FC">
        <w:rPr>
          <w:sz w:val="18"/>
          <w:szCs w:val="18"/>
        </w:rPr>
        <w:t>Se considerarán las publicacione</w:t>
      </w:r>
      <w:r w:rsidR="004D2ADD">
        <w:rPr>
          <w:sz w:val="18"/>
          <w:szCs w:val="18"/>
        </w:rPr>
        <w:t>s WOS, Scopus, Scielo o Latindex Catálogo,</w:t>
      </w:r>
      <w:r w:rsidRPr="007606FC">
        <w:rPr>
          <w:sz w:val="18"/>
          <w:szCs w:val="18"/>
        </w:rPr>
        <w:t xml:space="preserve"> libros y capítulos de libros con un máximo de 10 artículos en cada una de ellas.</w:t>
      </w:r>
    </w:p>
    <w:p w14:paraId="06D7B5AF" w14:textId="7631480B" w:rsidR="00C31172" w:rsidRPr="00625805" w:rsidRDefault="007606FC" w:rsidP="00625805">
      <w:pPr>
        <w:jc w:val="both"/>
        <w:rPr>
          <w:sz w:val="18"/>
          <w:szCs w:val="18"/>
        </w:rPr>
      </w:pPr>
      <w:r w:rsidRPr="007606FC">
        <w:rPr>
          <w:sz w:val="18"/>
          <w:szCs w:val="18"/>
        </w:rPr>
        <w:t>Para quienes formulen proyectos cuyos objetivos se enmarquen dentro de las siguientes categorías, basadas en los Grupos de estudio de FONDECYT</w:t>
      </w:r>
      <w:r>
        <w:rPr>
          <w:sz w:val="18"/>
          <w:szCs w:val="18"/>
        </w:rPr>
        <w:t xml:space="preserve">: </w:t>
      </w:r>
      <w:r w:rsidRPr="007606FC">
        <w:rPr>
          <w:bCs/>
          <w:sz w:val="18"/>
          <w:szCs w:val="18"/>
        </w:rPr>
        <w:t>AGRONOMÍA; ASTRONOMÍA, COSMOLOGÍA Y PARTÍCULAS; BIOLOGÍA 1, 2 y 3; CIENCIAS DE LA TIERRA; CIENCIAS ECONÓMICAS Y ADMINISTRATIVAS; FÍSICA TEÓRICA Y EXPERIMENTAL; INGENIERÍA 1, 2 y 3; MATEMÁTICAS; MEDICINA G1 CS. BIOMÉDICAS; QUÍMICA; SALUD Y PRODUCCIÓN ANIMAL</w:t>
      </w:r>
      <w:r w:rsidR="00625805">
        <w:rPr>
          <w:b/>
          <w:bCs/>
          <w:sz w:val="18"/>
          <w:szCs w:val="18"/>
        </w:rPr>
        <w:t xml:space="preserve">, </w:t>
      </w:r>
      <w:r w:rsidRPr="007606FC">
        <w:rPr>
          <w:b/>
          <w:bCs/>
          <w:sz w:val="18"/>
          <w:szCs w:val="18"/>
        </w:rPr>
        <w:t xml:space="preserve"> </w:t>
      </w:r>
      <w:r w:rsidR="00625805">
        <w:rPr>
          <w:bCs/>
          <w:sz w:val="18"/>
          <w:szCs w:val="18"/>
        </w:rPr>
        <w:t>e</w:t>
      </w:r>
      <w:r w:rsidRPr="007606FC">
        <w:rPr>
          <w:bCs/>
          <w:sz w:val="18"/>
          <w:szCs w:val="18"/>
        </w:rPr>
        <w:t>l criterio de evaluación será el siguiente:</w:t>
      </w:r>
      <w:r w:rsidR="00625805">
        <w:rPr>
          <w:bCs/>
          <w:sz w:val="18"/>
          <w:szCs w:val="18"/>
        </w:rPr>
        <w:t xml:space="preserve"> </w:t>
      </w:r>
      <w:r w:rsidR="00C31172" w:rsidRPr="00625805">
        <w:rPr>
          <w:sz w:val="18"/>
          <w:szCs w:val="18"/>
        </w:rPr>
        <w:t xml:space="preserve">El cálculo del puntaje asociado a la productividad se tomará simplemente como </w:t>
      </w:r>
      <w:r w:rsidR="00806EC9" w:rsidRPr="00625805">
        <w:rPr>
          <w:sz w:val="18"/>
          <w:szCs w:val="18"/>
        </w:rPr>
        <w:t>la sumatoria de los índices de impacto</w:t>
      </w:r>
      <w:r w:rsidR="00C31172" w:rsidRPr="00625805">
        <w:rPr>
          <w:sz w:val="18"/>
          <w:szCs w:val="18"/>
        </w:rPr>
        <w:t xml:space="preserve"> asociados a cada indexación</w:t>
      </w:r>
      <w:r w:rsidR="00157E2A" w:rsidRPr="00625805">
        <w:rPr>
          <w:sz w:val="18"/>
          <w:szCs w:val="18"/>
        </w:rPr>
        <w:t xml:space="preserve"> dividido por el total de publicaciones</w:t>
      </w:r>
      <w:r w:rsidR="00C31172" w:rsidRPr="00625805">
        <w:rPr>
          <w:sz w:val="18"/>
          <w:szCs w:val="18"/>
        </w:rPr>
        <w:t xml:space="preserve">. El </w:t>
      </w:r>
      <w:r w:rsidR="00C31172" w:rsidRPr="00625805">
        <w:rPr>
          <w:sz w:val="18"/>
          <w:szCs w:val="18"/>
        </w:rPr>
        <w:lastRenderedPageBreak/>
        <w:t>puntaje obtenido en cada art</w:t>
      </w:r>
      <w:r w:rsidR="0099060D" w:rsidRPr="00625805">
        <w:rPr>
          <w:sz w:val="18"/>
          <w:szCs w:val="18"/>
        </w:rPr>
        <w:t>í</w:t>
      </w:r>
      <w:r w:rsidR="00C31172" w:rsidRPr="00625805">
        <w:rPr>
          <w:sz w:val="18"/>
          <w:szCs w:val="18"/>
        </w:rPr>
        <w:t xml:space="preserve">culo se multiplica por </w:t>
      </w:r>
      <w:r w:rsidR="00806EC9" w:rsidRPr="00625805">
        <w:rPr>
          <w:sz w:val="18"/>
          <w:szCs w:val="18"/>
        </w:rPr>
        <w:t>2 si e</w:t>
      </w:r>
      <w:r w:rsidR="0099060D" w:rsidRPr="00625805">
        <w:rPr>
          <w:sz w:val="18"/>
          <w:szCs w:val="18"/>
        </w:rPr>
        <w:t>l</w:t>
      </w:r>
      <w:r w:rsidR="00806EC9" w:rsidRPr="00625805">
        <w:rPr>
          <w:sz w:val="18"/>
          <w:szCs w:val="18"/>
        </w:rPr>
        <w:t>(la) investigador(a) responsable es autor correspondiente o primer autor</w:t>
      </w:r>
      <w:r w:rsidR="00625805">
        <w:rPr>
          <w:sz w:val="18"/>
          <w:szCs w:val="18"/>
        </w:rPr>
        <w:t>.</w:t>
      </w:r>
    </w:p>
    <w:p w14:paraId="4DA5C733" w14:textId="77777777" w:rsidR="00E965F4" w:rsidRDefault="00E965F4" w:rsidP="0095564E">
      <w:pPr>
        <w:jc w:val="both"/>
      </w:pPr>
    </w:p>
    <w:p w14:paraId="27D241B7" w14:textId="43AD05C3" w:rsidR="0095564E" w:rsidRDefault="001F563E" w:rsidP="0095564E">
      <w:pPr>
        <w:jc w:val="both"/>
        <w:rPr>
          <w:sz w:val="28"/>
          <w:szCs w:val="28"/>
        </w:rPr>
      </w:pPr>
      <w:r>
        <w:t xml:space="preserve">No serán consideradas </w:t>
      </w:r>
      <w:r w:rsidR="00E965F4">
        <w:t>aquéllas</w:t>
      </w:r>
      <w:r>
        <w:t xml:space="preserve"> publicaciones en</w:t>
      </w:r>
      <w:r w:rsidR="00E965F4">
        <w:t xml:space="preserve"> que la información entregada sea inconsistente con las bases de datos. A modo de ejemplo, nombre incorrecto de la revista, estado del manuscrito a la fecha de postulación, año de publicación</w:t>
      </w:r>
    </w:p>
    <w:p w14:paraId="17F4568C" w14:textId="77777777" w:rsidR="00E965F4" w:rsidRDefault="00E965F4" w:rsidP="0095564E">
      <w:pPr>
        <w:jc w:val="both"/>
      </w:pPr>
    </w:p>
    <w:p w14:paraId="1A93CB3E" w14:textId="53E9E390" w:rsidR="0095564E" w:rsidRPr="0095564E" w:rsidRDefault="0095564E" w:rsidP="0095564E">
      <w:pPr>
        <w:jc w:val="both"/>
      </w:pPr>
      <w:r w:rsidRPr="0095564E">
        <w:t xml:space="preserve">Cada uno de los Ítem serán </w:t>
      </w:r>
      <w:r w:rsidR="00E965F4" w:rsidRPr="0095564E">
        <w:t>evaluado</w:t>
      </w:r>
      <w:r w:rsidRPr="0095564E">
        <w:t xml:space="preserve"> con notas de 0 – 5 en donde: 5 (Excelente), 4 a 4,9 (Muy Bueno), 3 a 3,9 (Bueno), 2 a 2,9 (Regular), 1 a 1,9 (Deficiente) y 0 a 0,9 (No Califica). Aquellos investigadores cuyos antecedentes sean calificados en las dos últimas categorías no serán beneficiados. </w:t>
      </w:r>
    </w:p>
    <w:p w14:paraId="2B2B964E" w14:textId="77777777" w:rsidR="0095564E" w:rsidRDefault="0095564E" w:rsidP="00625805">
      <w:pPr>
        <w:jc w:val="both"/>
      </w:pPr>
    </w:p>
    <w:p w14:paraId="3D230FA7" w14:textId="59B387D2" w:rsidR="00625805" w:rsidRPr="00625805" w:rsidRDefault="00625805" w:rsidP="00625805">
      <w:pPr>
        <w:jc w:val="both"/>
      </w:pPr>
      <w:r w:rsidRPr="00625805">
        <w:t>La evaluación de los proyectos corresponderá a una Comisión designada por Resolución del Vicerrector de Investigación y Postgrados para cada Concurso anual, la que deberá estar integrada por investigadores representativos de las diferentes líneas de investigación que se impulsan dentro de la Universidad y que se hayan adjudicado un proyecto Fondecyt.</w:t>
      </w:r>
      <w:r>
        <w:t xml:space="preserve"> </w:t>
      </w:r>
    </w:p>
    <w:p w14:paraId="7BB155B6" w14:textId="77777777" w:rsidR="007606FC" w:rsidRDefault="007606FC" w:rsidP="00DB7078">
      <w:pPr>
        <w:jc w:val="both"/>
      </w:pPr>
    </w:p>
    <w:p w14:paraId="5D3227FE" w14:textId="202158B4" w:rsidR="007606FC" w:rsidRDefault="0095564E" w:rsidP="00DB7078">
      <w:pPr>
        <w:jc w:val="both"/>
        <w:rPr>
          <w:b/>
        </w:rPr>
      </w:pPr>
      <w:r w:rsidRPr="0095564E">
        <w:rPr>
          <w:b/>
        </w:rPr>
        <w:t>Presentación de los proyectos:</w:t>
      </w:r>
    </w:p>
    <w:p w14:paraId="3A54A671" w14:textId="77777777" w:rsidR="00113CC9" w:rsidRPr="0095564E" w:rsidRDefault="00113CC9" w:rsidP="00DB7078">
      <w:pPr>
        <w:jc w:val="both"/>
        <w:rPr>
          <w:b/>
        </w:rPr>
      </w:pPr>
    </w:p>
    <w:p w14:paraId="23A4F656" w14:textId="1C961ACA" w:rsidR="00113CC9" w:rsidRDefault="00113CC9" w:rsidP="0095564E">
      <w:pPr>
        <w:widowControl w:val="0"/>
        <w:autoSpaceDE w:val="0"/>
        <w:autoSpaceDN w:val="0"/>
        <w:adjustRightInd w:val="0"/>
        <w:spacing w:after="240"/>
        <w:jc w:val="both"/>
      </w:pPr>
      <w:r w:rsidRPr="00113CC9">
        <w:t xml:space="preserve">Todo proyecto de ser presentado en el </w:t>
      </w:r>
      <w:r w:rsidRPr="00DA48B2">
        <w:t>formulario oficial</w:t>
      </w:r>
      <w:r w:rsidRPr="00113CC9">
        <w:t xml:space="preserve"> del proyecto de investigación interno, ateniéndose estrictamente al formato y al máximo de extensión establecido. </w:t>
      </w:r>
    </w:p>
    <w:p w14:paraId="458E89CE" w14:textId="1590B98A" w:rsidR="00DA33A2" w:rsidRDefault="00DA33A2" w:rsidP="0095564E">
      <w:pPr>
        <w:widowControl w:val="0"/>
        <w:autoSpaceDE w:val="0"/>
        <w:autoSpaceDN w:val="0"/>
        <w:adjustRightInd w:val="0"/>
        <w:spacing w:after="240"/>
        <w:jc w:val="both"/>
      </w:pPr>
      <w:r>
        <w:t>Además, el investigador debe adjuntar</w:t>
      </w:r>
      <w:r w:rsidR="00FD10EC">
        <w:t xml:space="preserve"> su curriculum</w:t>
      </w:r>
      <w:r w:rsidRPr="00FD10EC">
        <w:t xml:space="preserve"> </w:t>
      </w:r>
      <w:r w:rsidR="00FD10EC" w:rsidRPr="00FD10EC">
        <w:t>usando el</w:t>
      </w:r>
      <w:r w:rsidR="00FD10EC">
        <w:rPr>
          <w:b/>
        </w:rPr>
        <w:t xml:space="preserve"> </w:t>
      </w:r>
      <w:r w:rsidR="00FD10EC" w:rsidRPr="00DA48B2">
        <w:t>formato de CV oficial</w:t>
      </w:r>
      <w:r w:rsidRPr="00DA48B2">
        <w:t>.</w:t>
      </w:r>
      <w:r>
        <w:t xml:space="preserve"> La evaluación del CV del investigador se realizará considerando el Grupo de Estudio, específicamente en la valoración de publicaciones.  </w:t>
      </w:r>
    </w:p>
    <w:p w14:paraId="6FE863BD" w14:textId="05683316" w:rsidR="0095564E" w:rsidRDefault="00E3267B" w:rsidP="0095564E">
      <w:pPr>
        <w:widowControl w:val="0"/>
        <w:autoSpaceDE w:val="0"/>
        <w:autoSpaceDN w:val="0"/>
        <w:adjustRightInd w:val="0"/>
        <w:spacing w:after="240"/>
        <w:jc w:val="both"/>
      </w:pPr>
      <w:r w:rsidRPr="00625805">
        <w:t>Los proyectos</w:t>
      </w:r>
      <w:r w:rsidR="0095564E">
        <w:t xml:space="preserve"> se deben presentar en formato P</w:t>
      </w:r>
      <w:r w:rsidRPr="00625805">
        <w:t xml:space="preserve">df y ser </w:t>
      </w:r>
      <w:r w:rsidR="0095564E">
        <w:t>remitidos</w:t>
      </w:r>
      <w:r w:rsidRPr="00625805">
        <w:t xml:space="preserve"> por correo electrónico</w:t>
      </w:r>
      <w:r w:rsidR="0095564E">
        <w:t xml:space="preserve"> al Director de Investigación e Innovación al correo</w:t>
      </w:r>
      <w:r w:rsidRPr="00625805">
        <w:t xml:space="preserve">: </w:t>
      </w:r>
      <w:hyperlink r:id="rId11" w:history="1">
        <w:r w:rsidR="00043931" w:rsidRPr="006F33EB">
          <w:rPr>
            <w:rStyle w:val="Hipervnculo"/>
          </w:rPr>
          <w:t>katherine.delgado@ubo.cl</w:t>
        </w:r>
      </w:hyperlink>
      <w:r w:rsidRPr="00625805">
        <w:t>, indicando en la referencia</w:t>
      </w:r>
      <w:r w:rsidR="0095564E">
        <w:t xml:space="preserve"> </w:t>
      </w:r>
      <w:r w:rsidR="00043931">
        <w:rPr>
          <w:b/>
        </w:rPr>
        <w:t>”UBO INT_2018</w:t>
      </w:r>
      <w:r w:rsidRPr="00625805">
        <w:rPr>
          <w:b/>
        </w:rPr>
        <w:t xml:space="preserve"> + nombre y apellido del investigador”</w:t>
      </w:r>
      <w:r w:rsidRPr="00625805">
        <w:t>.</w:t>
      </w:r>
      <w:r w:rsidR="00043931">
        <w:t xml:space="preserve"> La fecha y hora límite es el </w:t>
      </w:r>
      <w:r w:rsidR="00D431E7">
        <w:t>2</w:t>
      </w:r>
      <w:r w:rsidR="00043931">
        <w:t>5 de marzo del 2018 a las 18</w:t>
      </w:r>
      <w:r w:rsidR="0095564E">
        <w:t>.00 hrs.</w:t>
      </w:r>
      <w:r w:rsidR="00043931">
        <w:t xml:space="preserve"> </w:t>
      </w:r>
      <w:r w:rsidR="002C0DE2">
        <w:t xml:space="preserve">No se considerarán los </w:t>
      </w:r>
      <w:r w:rsidR="00043931">
        <w:t xml:space="preserve">proyectos </w:t>
      </w:r>
      <w:r w:rsidR="002C0DE2">
        <w:t>recibidos fuera</w:t>
      </w:r>
      <w:r w:rsidR="00043931">
        <w:t xml:space="preserve"> de plazo. </w:t>
      </w:r>
    </w:p>
    <w:p w14:paraId="0531CF9A" w14:textId="6B222194" w:rsidR="00E3267B" w:rsidRPr="00625805" w:rsidRDefault="00E3267B" w:rsidP="0095564E">
      <w:pPr>
        <w:widowControl w:val="0"/>
        <w:autoSpaceDE w:val="0"/>
        <w:autoSpaceDN w:val="0"/>
        <w:adjustRightInd w:val="0"/>
        <w:spacing w:after="240"/>
        <w:jc w:val="both"/>
      </w:pPr>
      <w:r w:rsidRPr="00625805">
        <w:t>La aprobación o rechazo de los proyectos</w:t>
      </w:r>
      <w:r w:rsidR="0095564E">
        <w:t>, así como su evaluación,</w:t>
      </w:r>
      <w:r w:rsidRPr="00625805">
        <w:t xml:space="preserve"> será comunicada</w:t>
      </w:r>
      <w:r w:rsidR="0095564E">
        <w:t>,</w:t>
      </w:r>
      <w:r w:rsidRPr="00625805">
        <w:t xml:space="preserve"> por escr</w:t>
      </w:r>
      <w:r w:rsidR="0095564E">
        <w:t xml:space="preserve">ito y por correo electrónico, </w:t>
      </w:r>
      <w:r w:rsidR="00070593">
        <w:t>al investigador responsable el 02 de abril del 2018</w:t>
      </w:r>
      <w:r w:rsidR="0095564E">
        <w:t>.</w:t>
      </w:r>
    </w:p>
    <w:p w14:paraId="4AEB7C34" w14:textId="34B70C35" w:rsidR="007E37CD" w:rsidRPr="005F0D76" w:rsidRDefault="005F0D76" w:rsidP="00DB7078">
      <w:pPr>
        <w:widowControl w:val="0"/>
        <w:autoSpaceDE w:val="0"/>
        <w:autoSpaceDN w:val="0"/>
        <w:adjustRightInd w:val="0"/>
        <w:spacing w:after="240" w:line="360" w:lineRule="atLeast"/>
        <w:jc w:val="both"/>
        <w:rPr>
          <w:b/>
          <w:sz w:val="28"/>
          <w:szCs w:val="28"/>
        </w:rPr>
      </w:pPr>
      <w:r>
        <w:rPr>
          <w:b/>
        </w:rPr>
        <w:t>Avance y r</w:t>
      </w:r>
      <w:r w:rsidRPr="005F0D76">
        <w:rPr>
          <w:b/>
        </w:rPr>
        <w:t xml:space="preserve">endición final del </w:t>
      </w:r>
      <w:r>
        <w:rPr>
          <w:b/>
        </w:rPr>
        <w:t>p</w:t>
      </w:r>
      <w:r w:rsidRPr="005F0D76">
        <w:rPr>
          <w:b/>
        </w:rPr>
        <w:t>royecto</w:t>
      </w:r>
    </w:p>
    <w:p w14:paraId="6CD96341" w14:textId="66DF1451" w:rsidR="00502DF5" w:rsidRDefault="00502DF5" w:rsidP="00502DF5">
      <w:pPr>
        <w:widowControl w:val="0"/>
        <w:autoSpaceDE w:val="0"/>
        <w:autoSpaceDN w:val="0"/>
        <w:adjustRightInd w:val="0"/>
        <w:spacing w:after="240"/>
        <w:jc w:val="both"/>
      </w:pPr>
      <w:r>
        <w:t>Los informes de avance deberán ajustarse al formulario elaborado para estos fines y ser presentados en el plazo establecido. El no cumplimiento de esta obligación será causal de la suspensión inmediata del financiamiento del proyecto.</w:t>
      </w:r>
    </w:p>
    <w:p w14:paraId="68E86B3C" w14:textId="03058D54" w:rsidR="00CD57BF" w:rsidRDefault="00CD57BF" w:rsidP="00502DF5">
      <w:pPr>
        <w:widowControl w:val="0"/>
        <w:autoSpaceDE w:val="0"/>
        <w:autoSpaceDN w:val="0"/>
        <w:adjustRightInd w:val="0"/>
        <w:spacing w:after="240"/>
        <w:jc w:val="both"/>
      </w:pPr>
      <w:r>
        <w:t xml:space="preserve">Para la rendición final del proyecto se podrá presentar un manuscrito en estado </w:t>
      </w:r>
      <w:r w:rsidRPr="00CD57BF">
        <w:rPr>
          <w:i/>
        </w:rPr>
        <w:t>Publicado</w:t>
      </w:r>
      <w:r w:rsidRPr="00CD57BF">
        <w:t xml:space="preserve">, </w:t>
      </w:r>
      <w:r w:rsidRPr="00CD57BF">
        <w:rPr>
          <w:i/>
        </w:rPr>
        <w:t>En prensa</w:t>
      </w:r>
      <w:r w:rsidRPr="00CD57BF">
        <w:t xml:space="preserve">, </w:t>
      </w:r>
      <w:r w:rsidRPr="00CD57BF">
        <w:rPr>
          <w:i/>
        </w:rPr>
        <w:t>Aceptado</w:t>
      </w:r>
      <w:r w:rsidRPr="00CD57BF">
        <w:t xml:space="preserve"> o </w:t>
      </w:r>
      <w:r w:rsidRPr="00CD57BF">
        <w:rPr>
          <w:i/>
        </w:rPr>
        <w:t>Enviado</w:t>
      </w:r>
      <w:r w:rsidRPr="00CD57BF">
        <w:t xml:space="preserve"> como reemplazo a un infor</w:t>
      </w:r>
      <w:r>
        <w:t xml:space="preserve">me de finalización, este </w:t>
      </w:r>
      <w:r w:rsidRPr="00CD57BF">
        <w:t>artículo debe dar respuesta sustancial a los objetivos planteados en el proyecto.</w:t>
      </w:r>
      <w:r>
        <w:t xml:space="preserve"> De </w:t>
      </w:r>
      <w:r>
        <w:lastRenderedPageBreak/>
        <w:t>lo contrario se deb</w:t>
      </w:r>
      <w:r w:rsidR="00DA48B2">
        <w:t xml:space="preserve">erá presentar un informe final que dé cuenta de los logros e impactos del proyecto. </w:t>
      </w:r>
    </w:p>
    <w:p w14:paraId="4F1405D7" w14:textId="67F18BEA" w:rsidR="0095564E" w:rsidRPr="005F0D76" w:rsidRDefault="0095564E" w:rsidP="00DB7078">
      <w:pPr>
        <w:widowControl w:val="0"/>
        <w:autoSpaceDE w:val="0"/>
        <w:autoSpaceDN w:val="0"/>
        <w:adjustRightInd w:val="0"/>
        <w:spacing w:after="240" w:line="360" w:lineRule="atLeast"/>
        <w:jc w:val="both"/>
        <w:rPr>
          <w:b/>
          <w:sz w:val="28"/>
          <w:szCs w:val="28"/>
        </w:rPr>
      </w:pPr>
    </w:p>
    <w:p w14:paraId="4E30E006" w14:textId="77777777" w:rsidR="0095564E" w:rsidRDefault="0095564E" w:rsidP="00DB7078">
      <w:pPr>
        <w:widowControl w:val="0"/>
        <w:autoSpaceDE w:val="0"/>
        <w:autoSpaceDN w:val="0"/>
        <w:adjustRightInd w:val="0"/>
        <w:spacing w:after="240" w:line="360" w:lineRule="atLeast"/>
        <w:jc w:val="both"/>
        <w:rPr>
          <w:b/>
          <w:sz w:val="28"/>
          <w:szCs w:val="28"/>
        </w:rPr>
      </w:pPr>
    </w:p>
    <w:p w14:paraId="440F14A1" w14:textId="77777777" w:rsidR="0095564E" w:rsidRDefault="0095564E" w:rsidP="00DB7078">
      <w:pPr>
        <w:widowControl w:val="0"/>
        <w:autoSpaceDE w:val="0"/>
        <w:autoSpaceDN w:val="0"/>
        <w:adjustRightInd w:val="0"/>
        <w:spacing w:after="240" w:line="360" w:lineRule="atLeast"/>
        <w:jc w:val="both"/>
        <w:rPr>
          <w:b/>
          <w:sz w:val="28"/>
          <w:szCs w:val="28"/>
        </w:rPr>
      </w:pPr>
    </w:p>
    <w:p w14:paraId="11974526" w14:textId="77777777" w:rsidR="0095564E" w:rsidRDefault="0095564E" w:rsidP="00DB7078">
      <w:pPr>
        <w:widowControl w:val="0"/>
        <w:autoSpaceDE w:val="0"/>
        <w:autoSpaceDN w:val="0"/>
        <w:adjustRightInd w:val="0"/>
        <w:spacing w:after="240" w:line="360" w:lineRule="atLeast"/>
        <w:jc w:val="both"/>
        <w:rPr>
          <w:b/>
          <w:sz w:val="28"/>
          <w:szCs w:val="28"/>
        </w:rPr>
      </w:pPr>
    </w:p>
    <w:p w14:paraId="7344826A" w14:textId="77777777" w:rsidR="0095564E" w:rsidRDefault="0095564E" w:rsidP="00DB7078">
      <w:pPr>
        <w:widowControl w:val="0"/>
        <w:autoSpaceDE w:val="0"/>
        <w:autoSpaceDN w:val="0"/>
        <w:adjustRightInd w:val="0"/>
        <w:spacing w:after="240" w:line="360" w:lineRule="atLeast"/>
        <w:jc w:val="both"/>
        <w:rPr>
          <w:b/>
          <w:sz w:val="28"/>
          <w:szCs w:val="28"/>
        </w:rPr>
      </w:pPr>
    </w:p>
    <w:p w14:paraId="264C24E1" w14:textId="77777777" w:rsidR="0095564E" w:rsidRDefault="0095564E" w:rsidP="00DB7078">
      <w:pPr>
        <w:widowControl w:val="0"/>
        <w:autoSpaceDE w:val="0"/>
        <w:autoSpaceDN w:val="0"/>
        <w:adjustRightInd w:val="0"/>
        <w:spacing w:after="240" w:line="360" w:lineRule="atLeast"/>
        <w:jc w:val="both"/>
        <w:rPr>
          <w:b/>
          <w:sz w:val="28"/>
          <w:szCs w:val="28"/>
        </w:rPr>
      </w:pPr>
    </w:p>
    <w:p w14:paraId="522F95B1" w14:textId="77777777" w:rsidR="0095564E" w:rsidRDefault="0095564E" w:rsidP="00DB7078">
      <w:pPr>
        <w:widowControl w:val="0"/>
        <w:autoSpaceDE w:val="0"/>
        <w:autoSpaceDN w:val="0"/>
        <w:adjustRightInd w:val="0"/>
        <w:spacing w:after="240" w:line="360" w:lineRule="atLeast"/>
        <w:jc w:val="both"/>
        <w:rPr>
          <w:b/>
          <w:sz w:val="28"/>
          <w:szCs w:val="28"/>
        </w:rPr>
      </w:pPr>
    </w:p>
    <w:p w14:paraId="4C78E473" w14:textId="24770C8C" w:rsidR="007E37CD" w:rsidRDefault="007E37CD" w:rsidP="00DB7078">
      <w:pPr>
        <w:widowControl w:val="0"/>
        <w:autoSpaceDE w:val="0"/>
        <w:autoSpaceDN w:val="0"/>
        <w:adjustRightInd w:val="0"/>
        <w:spacing w:after="240" w:line="360" w:lineRule="atLeast"/>
        <w:jc w:val="both"/>
        <w:rPr>
          <w:sz w:val="28"/>
          <w:szCs w:val="28"/>
        </w:rPr>
      </w:pPr>
    </w:p>
    <w:p w14:paraId="527FF657" w14:textId="77777777" w:rsidR="000C636E" w:rsidRPr="000C636E" w:rsidRDefault="000C636E" w:rsidP="000C636E">
      <w:pPr>
        <w:widowControl w:val="0"/>
        <w:autoSpaceDE w:val="0"/>
        <w:autoSpaceDN w:val="0"/>
        <w:adjustRightInd w:val="0"/>
        <w:spacing w:after="240" w:line="360" w:lineRule="atLeast"/>
        <w:jc w:val="both"/>
        <w:rPr>
          <w:sz w:val="28"/>
          <w:szCs w:val="28"/>
        </w:rPr>
      </w:pPr>
    </w:p>
    <w:p w14:paraId="103EC24D" w14:textId="77777777" w:rsidR="00806EC9" w:rsidRPr="00C31172" w:rsidRDefault="00806EC9" w:rsidP="00DB7078">
      <w:pPr>
        <w:widowControl w:val="0"/>
        <w:autoSpaceDE w:val="0"/>
        <w:autoSpaceDN w:val="0"/>
        <w:adjustRightInd w:val="0"/>
        <w:spacing w:after="240" w:line="360" w:lineRule="atLeast"/>
        <w:jc w:val="both"/>
        <w:rPr>
          <w:sz w:val="28"/>
          <w:szCs w:val="28"/>
        </w:rPr>
      </w:pPr>
    </w:p>
    <w:sectPr w:rsidR="00806EC9" w:rsidRPr="00C31172" w:rsidSect="00E87807">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8F959" w14:textId="77777777" w:rsidR="00CB4DA3" w:rsidRDefault="00CB4DA3" w:rsidP="00EC57A9">
      <w:r>
        <w:separator/>
      </w:r>
    </w:p>
  </w:endnote>
  <w:endnote w:type="continuationSeparator" w:id="0">
    <w:p w14:paraId="3F512AD7" w14:textId="77777777" w:rsidR="00CB4DA3" w:rsidRDefault="00CB4DA3" w:rsidP="00EC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550D5" w14:textId="77777777" w:rsidR="00CB4DA3" w:rsidRDefault="00CB4DA3" w:rsidP="00EC57A9">
      <w:r>
        <w:separator/>
      </w:r>
    </w:p>
  </w:footnote>
  <w:footnote w:type="continuationSeparator" w:id="0">
    <w:p w14:paraId="0FECDD6E" w14:textId="77777777" w:rsidR="00CB4DA3" w:rsidRDefault="00CB4DA3" w:rsidP="00EC5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EBB3" w14:textId="77777777" w:rsidR="009E4981" w:rsidRDefault="009E4981">
    <w:pPr>
      <w:pStyle w:val="Encabezado"/>
    </w:pPr>
    <w:r>
      <w:rPr>
        <w:noProof/>
        <w:lang w:eastAsia="es-ES_tradnl"/>
      </w:rPr>
      <w:drawing>
        <wp:inline distT="0" distB="0" distL="0" distR="0" wp14:anchorId="77E19C96" wp14:editId="25411C6E">
          <wp:extent cx="1603375" cy="8337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 (1).png"/>
                  <pic:cNvPicPr/>
                </pic:nvPicPr>
                <pic:blipFill>
                  <a:blip r:embed="rId1">
                    <a:extLst>
                      <a:ext uri="{28A0092B-C50C-407E-A947-70E740481C1C}">
                        <a14:useLocalDpi xmlns:a14="http://schemas.microsoft.com/office/drawing/2010/main" val="0"/>
                      </a:ext>
                    </a:extLst>
                  </a:blip>
                  <a:stretch>
                    <a:fillRect/>
                  </a:stretch>
                </pic:blipFill>
                <pic:spPr>
                  <a:xfrm>
                    <a:off x="0" y="0"/>
                    <a:ext cx="1603375" cy="83375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0311"/>
    <w:multiLevelType w:val="hybridMultilevel"/>
    <w:tmpl w:val="D018D8AE"/>
    <w:lvl w:ilvl="0" w:tplc="BCC0C608">
      <w:start w:val="44"/>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0C77C4"/>
    <w:multiLevelType w:val="hybridMultilevel"/>
    <w:tmpl w:val="7D6C0806"/>
    <w:lvl w:ilvl="0" w:tplc="A7BC8882">
      <w:start w:val="1"/>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5F35EC"/>
    <w:multiLevelType w:val="hybridMultilevel"/>
    <w:tmpl w:val="57FCFA56"/>
    <w:lvl w:ilvl="0" w:tplc="DE98FE46">
      <w:start w:val="44"/>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2912578"/>
    <w:multiLevelType w:val="hybridMultilevel"/>
    <w:tmpl w:val="D43455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DF7855"/>
    <w:multiLevelType w:val="hybridMultilevel"/>
    <w:tmpl w:val="BD726342"/>
    <w:lvl w:ilvl="0" w:tplc="6F2C5942">
      <w:start w:val="44"/>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7BB5088"/>
    <w:multiLevelType w:val="hybridMultilevel"/>
    <w:tmpl w:val="8E1C2EA8"/>
    <w:lvl w:ilvl="0" w:tplc="A9FA8B04">
      <w:start w:val="44"/>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26A1A82"/>
    <w:multiLevelType w:val="hybridMultilevel"/>
    <w:tmpl w:val="6B82CB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A3DF6"/>
    <w:multiLevelType w:val="hybridMultilevel"/>
    <w:tmpl w:val="A0A8D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A9"/>
    <w:rsid w:val="00002292"/>
    <w:rsid w:val="00043931"/>
    <w:rsid w:val="00070593"/>
    <w:rsid w:val="00086C3C"/>
    <w:rsid w:val="000B4917"/>
    <w:rsid w:val="000C636E"/>
    <w:rsid w:val="00113CC9"/>
    <w:rsid w:val="00157E2A"/>
    <w:rsid w:val="0017239C"/>
    <w:rsid w:val="001A2EF9"/>
    <w:rsid w:val="001C6E3F"/>
    <w:rsid w:val="001E303B"/>
    <w:rsid w:val="001F0B78"/>
    <w:rsid w:val="001F563E"/>
    <w:rsid w:val="00201E64"/>
    <w:rsid w:val="002807C9"/>
    <w:rsid w:val="002B1BC0"/>
    <w:rsid w:val="002C0DE2"/>
    <w:rsid w:val="002E76FB"/>
    <w:rsid w:val="002F2EAA"/>
    <w:rsid w:val="003074A7"/>
    <w:rsid w:val="00336A78"/>
    <w:rsid w:val="0034716C"/>
    <w:rsid w:val="0038748A"/>
    <w:rsid w:val="003C5D66"/>
    <w:rsid w:val="003D68DC"/>
    <w:rsid w:val="0043120B"/>
    <w:rsid w:val="004419D9"/>
    <w:rsid w:val="00457963"/>
    <w:rsid w:val="004D2ADD"/>
    <w:rsid w:val="00502DF5"/>
    <w:rsid w:val="0050725E"/>
    <w:rsid w:val="00545429"/>
    <w:rsid w:val="0054677B"/>
    <w:rsid w:val="00586896"/>
    <w:rsid w:val="005E02C7"/>
    <w:rsid w:val="005F0D76"/>
    <w:rsid w:val="005F21C8"/>
    <w:rsid w:val="00620B62"/>
    <w:rsid w:val="00625805"/>
    <w:rsid w:val="00654DAD"/>
    <w:rsid w:val="006754B8"/>
    <w:rsid w:val="006C569A"/>
    <w:rsid w:val="00704E85"/>
    <w:rsid w:val="007606FC"/>
    <w:rsid w:val="007D38CF"/>
    <w:rsid w:val="007E37CD"/>
    <w:rsid w:val="007F59C5"/>
    <w:rsid w:val="008066D0"/>
    <w:rsid w:val="00806EC9"/>
    <w:rsid w:val="00807EEE"/>
    <w:rsid w:val="00834FA8"/>
    <w:rsid w:val="00840533"/>
    <w:rsid w:val="008435F4"/>
    <w:rsid w:val="0084667A"/>
    <w:rsid w:val="00847EC8"/>
    <w:rsid w:val="00850598"/>
    <w:rsid w:val="008911AF"/>
    <w:rsid w:val="008A1848"/>
    <w:rsid w:val="009354F9"/>
    <w:rsid w:val="009407B4"/>
    <w:rsid w:val="0094410D"/>
    <w:rsid w:val="0095564E"/>
    <w:rsid w:val="0095629C"/>
    <w:rsid w:val="00982944"/>
    <w:rsid w:val="0099060D"/>
    <w:rsid w:val="009E4981"/>
    <w:rsid w:val="009F3392"/>
    <w:rsid w:val="009F46C6"/>
    <w:rsid w:val="00AC58E4"/>
    <w:rsid w:val="00AD124A"/>
    <w:rsid w:val="00AF5902"/>
    <w:rsid w:val="00B14ACD"/>
    <w:rsid w:val="00B671A0"/>
    <w:rsid w:val="00B9748B"/>
    <w:rsid w:val="00BB3A1B"/>
    <w:rsid w:val="00BD0555"/>
    <w:rsid w:val="00C001FE"/>
    <w:rsid w:val="00C113AA"/>
    <w:rsid w:val="00C269CD"/>
    <w:rsid w:val="00C31172"/>
    <w:rsid w:val="00C323C6"/>
    <w:rsid w:val="00C6357F"/>
    <w:rsid w:val="00C8198D"/>
    <w:rsid w:val="00CA655F"/>
    <w:rsid w:val="00CB4DA3"/>
    <w:rsid w:val="00CD57BF"/>
    <w:rsid w:val="00CD700E"/>
    <w:rsid w:val="00D431E7"/>
    <w:rsid w:val="00DA33A2"/>
    <w:rsid w:val="00DA48B2"/>
    <w:rsid w:val="00DB7078"/>
    <w:rsid w:val="00DC1B1B"/>
    <w:rsid w:val="00DC7BFF"/>
    <w:rsid w:val="00DF2B12"/>
    <w:rsid w:val="00E04379"/>
    <w:rsid w:val="00E12BBF"/>
    <w:rsid w:val="00E3267B"/>
    <w:rsid w:val="00E57A4B"/>
    <w:rsid w:val="00E624B1"/>
    <w:rsid w:val="00E821A0"/>
    <w:rsid w:val="00E87807"/>
    <w:rsid w:val="00E965F4"/>
    <w:rsid w:val="00EC57A9"/>
    <w:rsid w:val="00F0565D"/>
    <w:rsid w:val="00F12C3D"/>
    <w:rsid w:val="00FA37DA"/>
    <w:rsid w:val="00FA5A9C"/>
    <w:rsid w:val="00FD10EC"/>
    <w:rsid w:val="00FD61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26D5B"/>
  <w14:defaultImageDpi w14:val="300"/>
  <w15:docId w15:val="{407DC488-5C0D-4519-A6DE-4EB1E940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7A9"/>
    <w:pPr>
      <w:tabs>
        <w:tab w:val="center" w:pos="4252"/>
        <w:tab w:val="right" w:pos="8504"/>
      </w:tabs>
    </w:pPr>
  </w:style>
  <w:style w:type="character" w:customStyle="1" w:styleId="EncabezadoCar">
    <w:name w:val="Encabezado Car"/>
    <w:basedOn w:val="Fuentedeprrafopredeter"/>
    <w:link w:val="Encabezado"/>
    <w:uiPriority w:val="99"/>
    <w:rsid w:val="00EC57A9"/>
  </w:style>
  <w:style w:type="paragraph" w:styleId="Piedepgina">
    <w:name w:val="footer"/>
    <w:basedOn w:val="Normal"/>
    <w:link w:val="PiedepginaCar"/>
    <w:uiPriority w:val="99"/>
    <w:unhideWhenUsed/>
    <w:rsid w:val="00EC57A9"/>
    <w:pPr>
      <w:tabs>
        <w:tab w:val="center" w:pos="4252"/>
        <w:tab w:val="right" w:pos="8504"/>
      </w:tabs>
    </w:pPr>
  </w:style>
  <w:style w:type="character" w:customStyle="1" w:styleId="PiedepginaCar">
    <w:name w:val="Pie de página Car"/>
    <w:basedOn w:val="Fuentedeprrafopredeter"/>
    <w:link w:val="Piedepgina"/>
    <w:uiPriority w:val="99"/>
    <w:rsid w:val="00EC57A9"/>
  </w:style>
  <w:style w:type="paragraph" w:styleId="Textodeglobo">
    <w:name w:val="Balloon Text"/>
    <w:basedOn w:val="Normal"/>
    <w:link w:val="TextodegloboCar"/>
    <w:uiPriority w:val="99"/>
    <w:semiHidden/>
    <w:unhideWhenUsed/>
    <w:rsid w:val="00EC57A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C57A9"/>
    <w:rPr>
      <w:rFonts w:ascii="Lucida Grande" w:hAnsi="Lucida Grande" w:cs="Lucida Grande"/>
      <w:sz w:val="18"/>
      <w:szCs w:val="18"/>
    </w:rPr>
  </w:style>
  <w:style w:type="paragraph" w:styleId="Prrafodelista">
    <w:name w:val="List Paragraph"/>
    <w:basedOn w:val="Normal"/>
    <w:uiPriority w:val="34"/>
    <w:qFormat/>
    <w:rsid w:val="00620B62"/>
    <w:pPr>
      <w:ind w:left="720"/>
      <w:contextualSpacing/>
    </w:pPr>
  </w:style>
  <w:style w:type="character" w:styleId="Hipervnculo">
    <w:name w:val="Hyperlink"/>
    <w:basedOn w:val="Fuentedeprrafopredeter"/>
    <w:uiPriority w:val="99"/>
    <w:unhideWhenUsed/>
    <w:rsid w:val="00E3267B"/>
    <w:rPr>
      <w:color w:val="0000FF" w:themeColor="hyperlink"/>
      <w:u w:val="single"/>
    </w:rPr>
  </w:style>
  <w:style w:type="character" w:styleId="Refdecomentario">
    <w:name w:val="annotation reference"/>
    <w:basedOn w:val="Fuentedeprrafopredeter"/>
    <w:uiPriority w:val="99"/>
    <w:semiHidden/>
    <w:unhideWhenUsed/>
    <w:rsid w:val="0099060D"/>
    <w:rPr>
      <w:sz w:val="16"/>
      <w:szCs w:val="16"/>
    </w:rPr>
  </w:style>
  <w:style w:type="paragraph" w:styleId="Textocomentario">
    <w:name w:val="annotation text"/>
    <w:basedOn w:val="Normal"/>
    <w:link w:val="TextocomentarioCar"/>
    <w:uiPriority w:val="99"/>
    <w:semiHidden/>
    <w:unhideWhenUsed/>
    <w:rsid w:val="0099060D"/>
    <w:rPr>
      <w:sz w:val="20"/>
      <w:szCs w:val="20"/>
    </w:rPr>
  </w:style>
  <w:style w:type="character" w:customStyle="1" w:styleId="TextocomentarioCar">
    <w:name w:val="Texto comentario Car"/>
    <w:basedOn w:val="Fuentedeprrafopredeter"/>
    <w:link w:val="Textocomentario"/>
    <w:uiPriority w:val="99"/>
    <w:semiHidden/>
    <w:rsid w:val="0099060D"/>
    <w:rPr>
      <w:sz w:val="20"/>
      <w:szCs w:val="20"/>
    </w:rPr>
  </w:style>
  <w:style w:type="paragraph" w:styleId="Asuntodelcomentario">
    <w:name w:val="annotation subject"/>
    <w:basedOn w:val="Textocomentario"/>
    <w:next w:val="Textocomentario"/>
    <w:link w:val="AsuntodelcomentarioCar"/>
    <w:uiPriority w:val="99"/>
    <w:semiHidden/>
    <w:unhideWhenUsed/>
    <w:rsid w:val="0099060D"/>
    <w:rPr>
      <w:b/>
      <w:bCs/>
    </w:rPr>
  </w:style>
  <w:style w:type="character" w:customStyle="1" w:styleId="AsuntodelcomentarioCar">
    <w:name w:val="Asunto del comentario Car"/>
    <w:basedOn w:val="TextocomentarioCar"/>
    <w:link w:val="Asuntodelcomentario"/>
    <w:uiPriority w:val="99"/>
    <w:semiHidden/>
    <w:rsid w:val="0099060D"/>
    <w:rPr>
      <w:b/>
      <w:bCs/>
      <w:sz w:val="20"/>
      <w:szCs w:val="20"/>
    </w:rPr>
  </w:style>
  <w:style w:type="character" w:customStyle="1" w:styleId="apple-converted-space">
    <w:name w:val="apple-converted-space"/>
    <w:basedOn w:val="Fuentedeprrafopredeter"/>
    <w:rsid w:val="0050725E"/>
  </w:style>
  <w:style w:type="character" w:styleId="Textoennegrita">
    <w:name w:val="Strong"/>
    <w:basedOn w:val="Fuentedeprrafopredeter"/>
    <w:uiPriority w:val="22"/>
    <w:qFormat/>
    <w:rsid w:val="0050725E"/>
    <w:rPr>
      <w:b/>
      <w:bCs/>
    </w:rPr>
  </w:style>
  <w:style w:type="paragraph" w:styleId="Textonotapie">
    <w:name w:val="footnote text"/>
    <w:basedOn w:val="Normal"/>
    <w:link w:val="TextonotapieCar"/>
    <w:uiPriority w:val="99"/>
    <w:semiHidden/>
    <w:unhideWhenUsed/>
    <w:rsid w:val="0043120B"/>
    <w:rPr>
      <w:sz w:val="20"/>
      <w:szCs w:val="20"/>
    </w:rPr>
  </w:style>
  <w:style w:type="character" w:customStyle="1" w:styleId="TextonotapieCar">
    <w:name w:val="Texto nota pie Car"/>
    <w:basedOn w:val="Fuentedeprrafopredeter"/>
    <w:link w:val="Textonotapie"/>
    <w:uiPriority w:val="99"/>
    <w:semiHidden/>
    <w:rsid w:val="0043120B"/>
    <w:rPr>
      <w:sz w:val="20"/>
      <w:szCs w:val="20"/>
    </w:rPr>
  </w:style>
  <w:style w:type="character" w:styleId="Refdenotaalpie">
    <w:name w:val="footnote reference"/>
    <w:basedOn w:val="Fuentedeprrafopredeter"/>
    <w:uiPriority w:val="99"/>
    <w:semiHidden/>
    <w:unhideWhenUsed/>
    <w:rsid w:val="00431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herine.delgado@ubo.c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53C5-EBC7-B04C-92A9-BF87397A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1538</Words>
  <Characters>8465</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ANTONIO ECHEVERRIA ECHEVERRIA</dc:creator>
  <cp:keywords/>
  <dc:description/>
  <cp:lastModifiedBy>Usuario de Microsoft Office</cp:lastModifiedBy>
  <cp:revision>7</cp:revision>
  <dcterms:created xsi:type="dcterms:W3CDTF">2018-01-11T21:57:00Z</dcterms:created>
  <dcterms:modified xsi:type="dcterms:W3CDTF">2018-01-30T18:01:00Z</dcterms:modified>
</cp:coreProperties>
</file>