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4F" w:rsidRDefault="007F144F">
      <w:pPr>
        <w:rPr>
          <w:b/>
          <w:color w:val="002060"/>
        </w:rPr>
      </w:pPr>
      <w:r w:rsidRPr="007F144F">
        <w:rPr>
          <w:b/>
          <w:color w:val="002060"/>
        </w:rPr>
        <w:t>CAPITULO: EVALUACION DE PROYECTO BAJO EL ENFOQUE DE LA TEORIA DE OPCIONES</w:t>
      </w:r>
    </w:p>
    <w:p w:rsidR="004C1FE0" w:rsidRDefault="007F144F" w:rsidP="007F144F">
      <w:pPr>
        <w:jc w:val="both"/>
      </w:pPr>
      <w:r>
        <w:t>Existen escenarios para inversiones definidas como complejas, es decir, en la que deben analizar inversiones tecnológicas de alto riesgo y mercados con alto nivel de incertidumbre, las técnicas más utilizadas como los flujos de caja descontados en muchos casos no son los suficientemente convincentes como para responder una pregunta fundamental: ¿Deberían emprender proyectos de inversión de riesgo elevado con tasas de rentabilidad por debajo de objetivos pero que puedan generar valiosas oportunidades estratégicas en el futuro?</w:t>
      </w:r>
      <w:r w:rsidR="00D60A09">
        <w:t>.</w:t>
      </w:r>
    </w:p>
    <w:p w:rsidR="0088013F" w:rsidRDefault="00D60A09" w:rsidP="007F144F">
      <w:pPr>
        <w:jc w:val="both"/>
        <w:rPr>
          <w:b/>
        </w:rPr>
      </w:pPr>
      <w:r w:rsidRPr="00D60A09">
        <w:rPr>
          <w:b/>
          <w:highlight w:val="yellow"/>
        </w:rPr>
        <w:t xml:space="preserve">POR </w:t>
      </w:r>
      <w:r w:rsidRPr="0088013F">
        <w:rPr>
          <w:b/>
          <w:highlight w:val="yellow"/>
        </w:rPr>
        <w:t>COMPLETAR</w:t>
      </w:r>
      <w:r w:rsidR="0088013F" w:rsidRPr="0088013F">
        <w:rPr>
          <w:b/>
          <w:highlight w:val="yellow"/>
        </w:rPr>
        <w:t xml:space="preserve"> TEORIA</w:t>
      </w:r>
      <w:r w:rsidR="0088013F">
        <w:rPr>
          <w:b/>
        </w:rPr>
        <w:t xml:space="preserve"> </w:t>
      </w:r>
      <w:r w:rsidRPr="00D60A09">
        <w:rPr>
          <w:b/>
        </w:rPr>
        <w:t xml:space="preserve"> </w:t>
      </w:r>
    </w:p>
    <w:p w:rsidR="0088013F" w:rsidRDefault="0088013F" w:rsidP="0088013F"/>
    <w:p w:rsidR="0088013F" w:rsidRDefault="0088013F" w:rsidP="0088013F">
      <w:r>
        <w:t>ANÁLISIS DE LAS OPCIONES DE CRECIMIENTO PARA LA EVALUACION DE PROYECTOS</w:t>
      </w:r>
    </w:p>
    <w:p w:rsidR="0088013F" w:rsidRPr="0088013F" w:rsidRDefault="0088013F" w:rsidP="0088013F">
      <w:pPr>
        <w:jc w:val="both"/>
        <w:rPr>
          <w:b/>
          <w:color w:val="002060"/>
        </w:rPr>
      </w:pPr>
      <w:r w:rsidRPr="0088013F">
        <w:rPr>
          <w:b/>
          <w:color w:val="002060"/>
        </w:rPr>
        <w:t xml:space="preserve">Caso 1: Opciones de crecimiento de McDonald's </w:t>
      </w:r>
      <w:proofErr w:type="spellStart"/>
      <w:r w:rsidRPr="0088013F">
        <w:rPr>
          <w:b/>
          <w:color w:val="002060"/>
        </w:rPr>
        <w:t>Corporation</w:t>
      </w:r>
      <w:proofErr w:type="spellEnd"/>
      <w:r w:rsidRPr="0088013F">
        <w:rPr>
          <w:b/>
          <w:color w:val="002060"/>
        </w:rPr>
        <w:t xml:space="preserve"> </w:t>
      </w:r>
    </w:p>
    <w:p w:rsidR="006912D4" w:rsidRDefault="0088013F" w:rsidP="006912D4">
      <w:pPr>
        <w:jc w:val="both"/>
      </w:pPr>
      <w:r w:rsidRPr="0088013F">
        <w:t xml:space="preserve">Se pide analizar las opciones de crecimiento para los proyectos de la empresa McDonald's </w:t>
      </w:r>
      <w:proofErr w:type="spellStart"/>
      <w:r w:rsidRPr="0088013F">
        <w:t>Corporation</w:t>
      </w:r>
      <w:proofErr w:type="spellEnd"/>
      <w:r w:rsidRPr="0088013F">
        <w:t xml:space="preserve"> que actualmente cotiza en </w:t>
      </w:r>
      <w:proofErr w:type="spellStart"/>
      <w:r w:rsidRPr="0088013F">
        <w:t>DowJones</w:t>
      </w:r>
      <w:proofErr w:type="spellEnd"/>
      <w:r w:rsidRPr="0088013F">
        <w:t xml:space="preserve"> Industrial </w:t>
      </w:r>
      <w:proofErr w:type="spellStart"/>
      <w:r w:rsidRPr="0088013F">
        <w:t>Average</w:t>
      </w:r>
      <w:proofErr w:type="spellEnd"/>
      <w:r w:rsidRPr="0088013F">
        <w:t xml:space="preserve"> </w:t>
      </w:r>
      <w:r w:rsidRPr="0088013F">
        <w:rPr>
          <w:rStyle w:val="Refdenotaalpie"/>
        </w:rPr>
        <w:footnoteReference w:id="1"/>
      </w:r>
      <w:r>
        <w:t xml:space="preserve"> , utilizando la teoría de opciones de compra sobre activos financieros. Para desarrollar este ejercicio se tiene como información tomada de </w:t>
      </w:r>
      <w:hyperlink r:id="rId8" w:history="1">
        <w:r w:rsidR="006912D4" w:rsidRPr="008D5CB8">
          <w:rPr>
            <w:rStyle w:val="Hipervnculo"/>
          </w:rPr>
          <w:t>https://finance.yahoo.com</w:t>
        </w:r>
      </w:hyperlink>
      <w:r w:rsidR="006912D4">
        <w:t>, resumen del balance general al 2017 y datos bursátiles para el cálculo del WACC contable y el WACC de mercado utilizando la teoría del CAPM. Se pide calcular: a) valor capitalizado de los beneficios, b) valor estimado de la opción de crecimiento y c) porcentaje del valor de mercado correspondiente a las opciones de crecimiento.</w:t>
      </w:r>
    </w:p>
    <w:p w:rsidR="0088013F" w:rsidRDefault="0088013F" w:rsidP="0088013F">
      <w:pPr>
        <w:rPr>
          <w:b/>
        </w:rPr>
      </w:pPr>
      <w:r>
        <w:rPr>
          <w:noProof/>
          <w:lang w:eastAsia="es-PE"/>
        </w:rPr>
        <w:drawing>
          <wp:anchor distT="0" distB="0" distL="114300" distR="114300" simplePos="0" relativeHeight="251659264" behindDoc="0" locked="0" layoutInCell="1" allowOverlap="1" wp14:anchorId="32DCEABE" wp14:editId="602658AF">
            <wp:simplePos x="0" y="0"/>
            <wp:positionH relativeFrom="column">
              <wp:posOffset>-32385</wp:posOffset>
            </wp:positionH>
            <wp:positionV relativeFrom="paragraph">
              <wp:posOffset>157480</wp:posOffset>
            </wp:positionV>
            <wp:extent cx="657225" cy="419100"/>
            <wp:effectExtent l="0" t="0" r="0" b="0"/>
            <wp:wrapSquare wrapText="bothSides"/>
            <wp:docPr id="1" name="Imagen 1" descr="Resultado de imagen para Mc dona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c donald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13F" w:rsidRDefault="0088013F" w:rsidP="0088013F">
      <w:r w:rsidRPr="00E75E0C">
        <w:rPr>
          <w:b/>
        </w:rPr>
        <w:t>CASO 1:</w:t>
      </w:r>
      <w:r>
        <w:t xml:space="preserve"> </w:t>
      </w:r>
      <w:r w:rsidRPr="00E75E0C">
        <w:t xml:space="preserve">McDonald's </w:t>
      </w:r>
      <w:proofErr w:type="spellStart"/>
      <w:r w:rsidRPr="00E75E0C">
        <w:t>Corporation</w:t>
      </w:r>
      <w:proofErr w:type="spellEnd"/>
      <w:r>
        <w:t xml:space="preserve"> </w:t>
      </w:r>
    </w:p>
    <w:tbl>
      <w:tblPr>
        <w:tblW w:w="7812" w:type="dxa"/>
        <w:tblInd w:w="-5" w:type="dxa"/>
        <w:tblCellMar>
          <w:left w:w="70" w:type="dxa"/>
          <w:right w:w="70" w:type="dxa"/>
        </w:tblCellMar>
        <w:tblLook w:val="04A0" w:firstRow="1" w:lastRow="0" w:firstColumn="1" w:lastColumn="0" w:noHBand="0" w:noVBand="1"/>
      </w:tblPr>
      <w:tblGrid>
        <w:gridCol w:w="2552"/>
        <w:gridCol w:w="1134"/>
        <w:gridCol w:w="3260"/>
        <w:gridCol w:w="866"/>
      </w:tblGrid>
      <w:tr w:rsidR="0088013F" w:rsidRPr="00E75E0C" w:rsidTr="00687DF4">
        <w:trPr>
          <w:trHeight w:val="300"/>
        </w:trPr>
        <w:tc>
          <w:tcPr>
            <w:tcW w:w="7812" w:type="dxa"/>
            <w:gridSpan w:val="4"/>
            <w:tcBorders>
              <w:top w:val="single" w:sz="4" w:space="0" w:color="000000"/>
              <w:left w:val="single" w:sz="4" w:space="0" w:color="000000"/>
              <w:bottom w:val="single" w:sz="4" w:space="0" w:color="000000"/>
              <w:right w:val="single" w:sz="4" w:space="0" w:color="000000"/>
            </w:tcBorders>
            <w:shd w:val="clear" w:color="7030A0" w:fill="7030A0"/>
            <w:noWrap/>
            <w:vAlign w:val="center"/>
            <w:hideMark/>
          </w:tcPr>
          <w:p w:rsidR="0088013F" w:rsidRPr="00E75E0C" w:rsidRDefault="0088013F" w:rsidP="00687DF4">
            <w:pPr>
              <w:spacing w:after="0" w:line="240" w:lineRule="auto"/>
              <w:jc w:val="center"/>
              <w:rPr>
                <w:rFonts w:ascii="Calibri" w:eastAsia="Times New Roman" w:hAnsi="Calibri" w:cs="Times New Roman"/>
                <w:color w:val="FFFFFF"/>
                <w:lang w:eastAsia="es-PE"/>
              </w:rPr>
            </w:pPr>
            <w:r w:rsidRPr="00E75E0C">
              <w:rPr>
                <w:rFonts w:ascii="Calibri" w:eastAsia="Times New Roman" w:hAnsi="Calibri" w:cs="Times New Roman"/>
                <w:color w:val="FFFFFF"/>
                <w:lang w:eastAsia="es-PE"/>
              </w:rPr>
              <w:t xml:space="preserve">Balance General </w:t>
            </w:r>
            <w:r w:rsidRPr="00E75E0C">
              <w:rPr>
                <w:rFonts w:ascii="Calibri" w:eastAsia="Times New Roman" w:hAnsi="Calibri" w:cs="Times New Roman"/>
                <w:b/>
                <w:i/>
                <w:color w:val="FFFFFF"/>
                <w:lang w:eastAsia="es-PE"/>
              </w:rPr>
              <w:t>(En millones de dólares)</w:t>
            </w:r>
          </w:p>
        </w:tc>
      </w:tr>
      <w:tr w:rsidR="0088013F" w:rsidRPr="00E75E0C" w:rsidTr="00687DF4">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Activos</w:t>
            </w:r>
          </w:p>
        </w:tc>
        <w:tc>
          <w:tcPr>
            <w:tcW w:w="1134"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2017</w:t>
            </w:r>
          </w:p>
        </w:tc>
        <w:tc>
          <w:tcPr>
            <w:tcW w:w="3260"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Pasivos</w:t>
            </w:r>
          </w:p>
        </w:tc>
        <w:tc>
          <w:tcPr>
            <w:tcW w:w="866"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2017</w:t>
            </w:r>
          </w:p>
        </w:tc>
      </w:tr>
      <w:tr w:rsidR="0088013F" w:rsidRPr="00E75E0C" w:rsidTr="00687DF4">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activos corrientes</w:t>
            </w:r>
          </w:p>
        </w:tc>
        <w:tc>
          <w:tcPr>
            <w:tcW w:w="1134"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5327,2</w:t>
            </w:r>
          </w:p>
        </w:tc>
        <w:tc>
          <w:tcPr>
            <w:tcW w:w="3260"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Total de pasivos corrientes</w:t>
            </w:r>
          </w:p>
        </w:tc>
        <w:tc>
          <w:tcPr>
            <w:tcW w:w="866"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2890,6</w:t>
            </w:r>
          </w:p>
        </w:tc>
      </w:tr>
      <w:tr w:rsidR="0088013F" w:rsidRPr="00E75E0C" w:rsidTr="00687DF4">
        <w:trPr>
          <w:trHeight w:val="66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 xml:space="preserve">Total de activos no corrientes </w:t>
            </w:r>
          </w:p>
        </w:tc>
        <w:tc>
          <w:tcPr>
            <w:tcW w:w="1134"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28476,5</w:t>
            </w:r>
          </w:p>
        </w:tc>
        <w:tc>
          <w:tcPr>
            <w:tcW w:w="326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Total de pasivos no corrientes</w:t>
            </w:r>
          </w:p>
        </w:tc>
        <w:tc>
          <w:tcPr>
            <w:tcW w:w="866"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34181</w:t>
            </w:r>
          </w:p>
        </w:tc>
      </w:tr>
      <w:tr w:rsidR="0088013F" w:rsidRPr="00E75E0C" w:rsidTr="00687DF4">
        <w:trPr>
          <w:trHeight w:val="36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326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la deuda</w:t>
            </w:r>
          </w:p>
        </w:tc>
        <w:tc>
          <w:tcPr>
            <w:tcW w:w="866"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37071,7</w:t>
            </w:r>
          </w:p>
        </w:tc>
      </w:tr>
      <w:tr w:rsidR="0088013F" w:rsidRPr="00E75E0C" w:rsidTr="00687DF4">
        <w:trPr>
          <w:trHeight w:val="36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326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proofErr w:type="spellStart"/>
            <w:r w:rsidRPr="00E75E0C">
              <w:rPr>
                <w:rFonts w:ascii="Calibri" w:eastAsia="Times New Roman" w:hAnsi="Calibri" w:cs="Times New Roman"/>
                <w:b/>
                <w:bCs/>
                <w:color w:val="000000"/>
                <w:lang w:eastAsia="es-PE"/>
              </w:rPr>
              <w:t>Equity</w:t>
            </w:r>
            <w:proofErr w:type="spellEnd"/>
          </w:p>
        </w:tc>
        <w:tc>
          <w:tcPr>
            <w:tcW w:w="866"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-3268</w:t>
            </w:r>
          </w:p>
        </w:tc>
      </w:tr>
      <w:tr w:rsidR="0088013F" w:rsidRPr="00E75E0C" w:rsidTr="00687DF4">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activos</w:t>
            </w:r>
          </w:p>
        </w:tc>
        <w:tc>
          <w:tcPr>
            <w:tcW w:w="1134" w:type="dxa"/>
            <w:tcBorders>
              <w:top w:val="nil"/>
              <w:left w:val="nil"/>
              <w:bottom w:val="single" w:sz="4" w:space="0" w:color="000000"/>
              <w:right w:val="single" w:sz="4" w:space="0" w:color="000000"/>
            </w:tcBorders>
            <w:shd w:val="clear" w:color="auto" w:fill="auto"/>
            <w:noWrap/>
            <w:vAlign w:val="center"/>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33803,7</w:t>
            </w:r>
          </w:p>
        </w:tc>
        <w:tc>
          <w:tcPr>
            <w:tcW w:w="326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pasivos</w:t>
            </w:r>
          </w:p>
        </w:tc>
        <w:tc>
          <w:tcPr>
            <w:tcW w:w="866"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33803,7</w:t>
            </w:r>
          </w:p>
        </w:tc>
      </w:tr>
    </w:tbl>
    <w:p w:rsidR="0088013F" w:rsidRDefault="0088013F" w:rsidP="0088013F">
      <w:r>
        <w:t>`</w:t>
      </w:r>
    </w:p>
    <w:p w:rsidR="006912D4" w:rsidRDefault="006912D4" w:rsidP="006912D4">
      <w:pPr>
        <w:jc w:val="both"/>
      </w:pPr>
    </w:p>
    <w:p w:rsidR="006912D4" w:rsidRDefault="006912D4" w:rsidP="006912D4">
      <w:pPr>
        <w:jc w:val="both"/>
      </w:pPr>
    </w:p>
    <w:p w:rsidR="006912D4" w:rsidRDefault="006912D4" w:rsidP="006912D4">
      <w:pPr>
        <w:jc w:val="both"/>
      </w:pPr>
    </w:p>
    <w:p w:rsidR="006912D4" w:rsidRDefault="006912D4" w:rsidP="006912D4">
      <w:pPr>
        <w:jc w:val="both"/>
      </w:pPr>
    </w:p>
    <w:p w:rsidR="006912D4" w:rsidRDefault="006912D4" w:rsidP="006912D4">
      <w:pPr>
        <w:jc w:val="both"/>
      </w:pPr>
      <w:r>
        <w:lastRenderedPageBreak/>
        <w:t>SOLUCIÓN</w:t>
      </w:r>
    </w:p>
    <w:p w:rsidR="006912D4" w:rsidRPr="0061502A" w:rsidRDefault="006912D4" w:rsidP="006912D4">
      <w:pPr>
        <w:pStyle w:val="Prrafodelista"/>
        <w:numPr>
          <w:ilvl w:val="0"/>
          <w:numId w:val="3"/>
        </w:numPr>
        <w:jc w:val="both"/>
        <w:rPr>
          <w:b/>
        </w:rPr>
      </w:pPr>
      <w:r w:rsidRPr="0061502A">
        <w:rPr>
          <w:b/>
        </w:rPr>
        <w:t xml:space="preserve">Valor capitalizado de los beneficios </w:t>
      </w:r>
    </w:p>
    <w:p w:rsidR="006912D4" w:rsidRDefault="006912D4" w:rsidP="006912D4">
      <w:pPr>
        <w:jc w:val="both"/>
      </w:pPr>
      <w:r>
        <w:t xml:space="preserve">Primero analizamos el costo ponderado de capital (WACC) bajo el enfoque del CAPM y cuyos resultados se pueden apreciar en la siguiente </w:t>
      </w:r>
      <w:r w:rsidR="0061502A">
        <w:t>Tabla, además se tiene como información el promedio de los últimos cuatro años de las ganancias netas de esta empresa que cotiza en la bolsa de EE.UU</w:t>
      </w:r>
      <w:r>
        <w:t>.</w:t>
      </w:r>
    </w:p>
    <w:p w:rsidR="0088013F" w:rsidRDefault="0088013F" w:rsidP="0088013F">
      <w:r w:rsidRPr="00E75E0C">
        <w:rPr>
          <w:b/>
          <w:i/>
        </w:rPr>
        <w:t>Índice de capitalización bursátil:</w:t>
      </w:r>
      <w:r>
        <w:t xml:space="preserve"> $ 125 581 millones.</w:t>
      </w:r>
    </w:p>
    <w:tbl>
      <w:tblPr>
        <w:tblW w:w="5900" w:type="dxa"/>
        <w:tblInd w:w="-5" w:type="dxa"/>
        <w:tblCellMar>
          <w:left w:w="70" w:type="dxa"/>
          <w:right w:w="70" w:type="dxa"/>
        </w:tblCellMar>
        <w:tblLook w:val="04A0" w:firstRow="1" w:lastRow="0" w:firstColumn="1" w:lastColumn="0" w:noHBand="0" w:noVBand="1"/>
      </w:tblPr>
      <w:tblGrid>
        <w:gridCol w:w="4620"/>
        <w:gridCol w:w="1280"/>
      </w:tblGrid>
      <w:tr w:rsidR="0088013F" w:rsidRPr="00E75E0C" w:rsidTr="00687DF4">
        <w:trPr>
          <w:trHeight w:val="300"/>
        </w:trPr>
        <w:tc>
          <w:tcPr>
            <w:tcW w:w="4620" w:type="dxa"/>
            <w:tcBorders>
              <w:top w:val="single" w:sz="4" w:space="0" w:color="000000"/>
              <w:left w:val="single" w:sz="4" w:space="0" w:color="000000"/>
              <w:bottom w:val="single" w:sz="4" w:space="0" w:color="000000"/>
              <w:right w:val="single" w:sz="4" w:space="0" w:color="000000"/>
            </w:tcBorders>
            <w:shd w:val="clear" w:color="7030A0" w:fill="7030A0"/>
            <w:noWrap/>
            <w:vAlign w:val="bottom"/>
            <w:hideMark/>
          </w:tcPr>
          <w:p w:rsidR="0088013F" w:rsidRPr="00E75E0C" w:rsidRDefault="0088013F" w:rsidP="00687DF4">
            <w:pPr>
              <w:spacing w:after="0" w:line="240" w:lineRule="auto"/>
              <w:jc w:val="center"/>
              <w:rPr>
                <w:rFonts w:ascii="Calibri" w:eastAsia="Times New Roman" w:hAnsi="Calibri" w:cs="Times New Roman"/>
                <w:color w:val="FFFFFF"/>
                <w:lang w:eastAsia="es-PE"/>
              </w:rPr>
            </w:pPr>
            <w:r>
              <w:rPr>
                <w:rFonts w:ascii="Calibri" w:eastAsia="Times New Roman" w:hAnsi="Calibri" w:cs="Times New Roman"/>
                <w:color w:val="FFFFFF"/>
                <w:lang w:eastAsia="es-PE"/>
              </w:rPr>
              <w:t xml:space="preserve">Mc </w:t>
            </w:r>
            <w:proofErr w:type="spellStart"/>
            <w:r>
              <w:rPr>
                <w:rFonts w:ascii="Calibri" w:eastAsia="Times New Roman" w:hAnsi="Calibri" w:cs="Times New Roman"/>
                <w:color w:val="FFFFFF"/>
                <w:lang w:eastAsia="es-PE"/>
              </w:rPr>
              <w:t>Donald’s</w:t>
            </w:r>
            <w:proofErr w:type="spellEnd"/>
          </w:p>
        </w:tc>
        <w:tc>
          <w:tcPr>
            <w:tcW w:w="1280" w:type="dxa"/>
            <w:tcBorders>
              <w:top w:val="single" w:sz="4" w:space="0" w:color="000000"/>
              <w:left w:val="nil"/>
              <w:bottom w:val="single" w:sz="4" w:space="0" w:color="000000"/>
              <w:right w:val="single" w:sz="4" w:space="0" w:color="000000"/>
            </w:tcBorders>
            <w:shd w:val="clear" w:color="7030A0" w:fill="7030A0"/>
            <w:noWrap/>
            <w:vAlign w:val="bottom"/>
            <w:hideMark/>
          </w:tcPr>
          <w:p w:rsidR="0088013F" w:rsidRPr="00E75E0C" w:rsidRDefault="0088013F" w:rsidP="00687DF4">
            <w:pPr>
              <w:spacing w:after="0" w:line="240" w:lineRule="auto"/>
              <w:jc w:val="center"/>
              <w:rPr>
                <w:rFonts w:ascii="Calibri" w:eastAsia="Times New Roman" w:hAnsi="Calibri" w:cs="Times New Roman"/>
                <w:color w:val="FFFFFF"/>
                <w:lang w:eastAsia="es-PE"/>
              </w:rPr>
            </w:pPr>
            <w:r w:rsidRPr="00E75E0C">
              <w:rPr>
                <w:rFonts w:ascii="Calibri" w:eastAsia="Times New Roman" w:hAnsi="Calibri" w:cs="Times New Roman"/>
                <w:color w:val="FFFFFF"/>
                <w:lang w:eastAsia="es-PE"/>
              </w:rPr>
              <w:t>2017</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Beta(β)</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0,69</w:t>
            </w:r>
          </w:p>
        </w:tc>
      </w:tr>
      <w:tr w:rsidR="0088013F" w:rsidRPr="00E75E0C" w:rsidTr="00687DF4">
        <w:trPr>
          <w:trHeight w:val="660"/>
        </w:trPr>
        <w:tc>
          <w:tcPr>
            <w:tcW w:w="4620" w:type="dxa"/>
            <w:tcBorders>
              <w:top w:val="nil"/>
              <w:left w:val="single" w:sz="4" w:space="0" w:color="000000"/>
              <w:bottom w:val="single" w:sz="4" w:space="0" w:color="000000"/>
              <w:right w:val="single" w:sz="4" w:space="0" w:color="000000"/>
            </w:tcBorders>
            <w:shd w:val="clear" w:color="FFFFFF" w:fill="FFFFFF"/>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Rendimiento de  bono norteamericano por 10 años(K</w:t>
            </w:r>
            <w:r w:rsidRPr="00E75E0C">
              <w:rPr>
                <w:rFonts w:ascii="Calibri" w:eastAsia="Times New Roman" w:hAnsi="Calibri" w:cs="Times New Roman"/>
                <w:color w:val="000000"/>
                <w:vertAlign w:val="subscript"/>
                <w:lang w:eastAsia="es-PE"/>
              </w:rPr>
              <w:t>R</w:t>
            </w:r>
            <w:r w:rsidRPr="00E75E0C">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2,957%</w:t>
            </w:r>
          </w:p>
        </w:tc>
      </w:tr>
      <w:tr w:rsidR="0088013F" w:rsidRPr="00E75E0C"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Prima de riesgo (K</w:t>
            </w:r>
            <w:r w:rsidRPr="00E75E0C">
              <w:rPr>
                <w:rFonts w:ascii="Calibri" w:eastAsia="Times New Roman" w:hAnsi="Calibri" w:cs="Times New Roman"/>
                <w:color w:val="000000"/>
                <w:vertAlign w:val="subscript"/>
                <w:lang w:eastAsia="es-PE"/>
              </w:rPr>
              <w:t>M</w:t>
            </w:r>
            <w:r w:rsidRPr="00E75E0C">
              <w:rPr>
                <w:rFonts w:ascii="Calibri" w:eastAsia="Times New Roman" w:hAnsi="Calibri" w:cs="Times New Roman"/>
                <w:color w:val="000000"/>
                <w:lang w:eastAsia="es-PE"/>
              </w:rPr>
              <w:t>-K</w:t>
            </w:r>
            <w:r w:rsidRPr="00E75E0C">
              <w:rPr>
                <w:rFonts w:ascii="Calibri" w:eastAsia="Times New Roman" w:hAnsi="Calibri" w:cs="Times New Roman"/>
                <w:color w:val="000000"/>
                <w:vertAlign w:val="subscript"/>
                <w:lang w:eastAsia="es-PE"/>
              </w:rPr>
              <w:t>R</w:t>
            </w:r>
            <w:r w:rsidRPr="00E75E0C">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7,6%</w:t>
            </w:r>
          </w:p>
        </w:tc>
      </w:tr>
      <w:tr w:rsidR="0088013F" w:rsidRPr="00E75E0C"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Costo de los fondos propios</w:t>
            </w:r>
            <w:r w:rsidRPr="00E75E0C">
              <w:rPr>
                <w:rFonts w:ascii="Calibri" w:eastAsia="Times New Roman" w:hAnsi="Calibri" w:cs="Times New Roman"/>
                <w:b/>
                <w:bCs/>
                <w:color w:val="000000"/>
                <w:lang w:eastAsia="es-PE"/>
              </w:rPr>
              <w:t xml:space="preserve"> [Ke= K</w:t>
            </w:r>
            <w:r w:rsidRPr="00E75E0C">
              <w:rPr>
                <w:rFonts w:ascii="Calibri" w:eastAsia="Times New Roman" w:hAnsi="Calibri" w:cs="Times New Roman"/>
                <w:b/>
                <w:bCs/>
                <w:color w:val="000000"/>
                <w:vertAlign w:val="subscript"/>
                <w:lang w:eastAsia="es-PE"/>
              </w:rPr>
              <w:t>R</w:t>
            </w:r>
            <w:r w:rsidRPr="00E75E0C">
              <w:rPr>
                <w:rFonts w:ascii="Calibri" w:eastAsia="Times New Roman" w:hAnsi="Calibri" w:cs="Times New Roman"/>
                <w:b/>
                <w:bCs/>
                <w:color w:val="000000"/>
                <w:lang w:eastAsia="es-PE"/>
              </w:rPr>
              <w:t>+β(K</w:t>
            </w:r>
            <w:r w:rsidRPr="00E75E0C">
              <w:rPr>
                <w:rFonts w:ascii="Calibri" w:eastAsia="Times New Roman" w:hAnsi="Calibri" w:cs="Times New Roman"/>
                <w:b/>
                <w:bCs/>
                <w:color w:val="000000"/>
                <w:vertAlign w:val="subscript"/>
                <w:lang w:eastAsia="es-PE"/>
              </w:rPr>
              <w:t>M</w:t>
            </w:r>
            <w:r w:rsidRPr="00E75E0C">
              <w:rPr>
                <w:rFonts w:ascii="Calibri" w:eastAsia="Times New Roman" w:hAnsi="Calibri" w:cs="Times New Roman"/>
                <w:b/>
                <w:bCs/>
                <w:color w:val="000000"/>
                <w:lang w:eastAsia="es-PE"/>
              </w:rPr>
              <w:t>-K</w:t>
            </w:r>
            <w:r w:rsidRPr="00E75E0C">
              <w:rPr>
                <w:rFonts w:ascii="Calibri" w:eastAsia="Times New Roman" w:hAnsi="Calibri" w:cs="Times New Roman"/>
                <w:b/>
                <w:bCs/>
                <w:color w:val="000000"/>
                <w:vertAlign w:val="subscript"/>
                <w:lang w:eastAsia="es-PE"/>
              </w:rPr>
              <w:t>R</w:t>
            </w:r>
            <w:r w:rsidRPr="00E75E0C">
              <w:rPr>
                <w:rFonts w:ascii="Calibri" w:eastAsia="Times New Roman" w:hAnsi="Calibri" w:cs="Times New Roman"/>
                <w:b/>
                <w:bCs/>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8,201%</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Capital(C)</w:t>
            </w:r>
            <w:r>
              <w:rPr>
                <w:rFonts w:ascii="Calibri" w:eastAsia="Times New Roman" w:hAnsi="Calibri" w:cs="Times New Roman"/>
                <w:color w:val="000000"/>
                <w:lang w:eastAsia="es-PE"/>
              </w:rPr>
              <w:t xml:space="preserve"> </w:t>
            </w:r>
            <w:r w:rsidRPr="00E75E0C">
              <w:rPr>
                <w:rFonts w:ascii="Calibri" w:eastAsia="Times New Roman" w:hAnsi="Calibri" w:cs="Times New Roman"/>
                <w:b/>
                <w:i/>
                <w:color w:val="000000"/>
                <w:lang w:eastAsia="es-PE"/>
              </w:rPr>
              <w:t>(En millones de dólares)</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-3268</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Deuda(D)</w:t>
            </w:r>
            <w:r>
              <w:rPr>
                <w:rFonts w:ascii="Calibri" w:eastAsia="Times New Roman" w:hAnsi="Calibri" w:cs="Times New Roman"/>
                <w:color w:val="000000"/>
                <w:lang w:eastAsia="es-PE"/>
              </w:rPr>
              <w:t xml:space="preserve"> </w:t>
            </w:r>
            <w:r w:rsidRPr="00E75E0C">
              <w:rPr>
                <w:rFonts w:ascii="Calibri" w:eastAsia="Times New Roman" w:hAnsi="Calibri" w:cs="Times New Roman"/>
                <w:b/>
                <w:i/>
                <w:color w:val="000000"/>
                <w:lang w:eastAsia="es-PE"/>
              </w:rPr>
              <w:t>(En millones de dólares)</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37072</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Tasa impositiva(T)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Tasa de interés(Kd)</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2,00%</w:t>
            </w:r>
          </w:p>
        </w:tc>
      </w:tr>
      <w:tr w:rsidR="0088013F" w:rsidRPr="00E75E0C" w:rsidTr="00687DF4">
        <w:trPr>
          <w:trHeight w:val="292"/>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WACC (valor contable)</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0,96%</w:t>
            </w:r>
          </w:p>
        </w:tc>
      </w:tr>
      <w:tr w:rsidR="0088013F" w:rsidRPr="00E75E0C"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WACC (valor de mercado)</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6,70%</w:t>
            </w:r>
          </w:p>
        </w:tc>
      </w:tr>
    </w:tbl>
    <w:p w:rsidR="0088013F" w:rsidRDefault="0088013F" w:rsidP="0088013F"/>
    <w:tbl>
      <w:tblPr>
        <w:tblW w:w="6544" w:type="dxa"/>
        <w:tblCellMar>
          <w:left w:w="70" w:type="dxa"/>
          <w:right w:w="70" w:type="dxa"/>
        </w:tblCellMar>
        <w:tblLook w:val="04A0" w:firstRow="1" w:lastRow="0" w:firstColumn="1" w:lastColumn="0" w:noHBand="0" w:noVBand="1"/>
      </w:tblPr>
      <w:tblGrid>
        <w:gridCol w:w="3272"/>
        <w:gridCol w:w="3272"/>
      </w:tblGrid>
      <w:tr w:rsidR="0088013F" w:rsidRPr="00485236" w:rsidTr="00F15BDA">
        <w:trPr>
          <w:trHeight w:val="177"/>
        </w:trPr>
        <w:tc>
          <w:tcPr>
            <w:tcW w:w="6544" w:type="dxa"/>
            <w:gridSpan w:val="2"/>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Promedio de los 4 últimos años</w:t>
            </w:r>
            <w:r w:rsidR="00F15BDA">
              <w:rPr>
                <w:rFonts w:ascii="Calibri" w:eastAsia="Times New Roman" w:hAnsi="Calibri" w:cs="Times New Roman"/>
                <w:color w:val="FFFFFF"/>
                <w:lang w:eastAsia="es-PE"/>
              </w:rPr>
              <w:t xml:space="preserve"> </w:t>
            </w:r>
            <w:r w:rsidR="00F15BDA" w:rsidRPr="00F15BDA">
              <w:rPr>
                <w:rFonts w:ascii="Calibri" w:eastAsia="Times New Roman" w:hAnsi="Calibri" w:cs="Times New Roman"/>
                <w:color w:val="FFFFFF"/>
                <w:lang w:eastAsia="es-PE"/>
              </w:rPr>
              <w:t>(En millones de dólares)</w:t>
            </w:r>
          </w:p>
        </w:tc>
      </w:tr>
      <w:tr w:rsidR="0088013F" w:rsidRPr="00485236" w:rsidTr="00F15BDA">
        <w:trPr>
          <w:trHeight w:val="542"/>
        </w:trPr>
        <w:tc>
          <w:tcPr>
            <w:tcW w:w="3272" w:type="dxa"/>
            <w:tcBorders>
              <w:top w:val="nil"/>
              <w:left w:val="single" w:sz="4" w:space="0" w:color="auto"/>
              <w:bottom w:val="single" w:sz="4" w:space="0" w:color="auto"/>
              <w:right w:val="single" w:sz="4" w:space="0" w:color="auto"/>
            </w:tcBorders>
            <w:shd w:val="clear" w:color="000000" w:fill="7030A0"/>
            <w:vAlign w:val="center"/>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Ganancias Netas</w:t>
            </w:r>
          </w:p>
        </w:tc>
        <w:tc>
          <w:tcPr>
            <w:tcW w:w="3272" w:type="dxa"/>
            <w:tcBorders>
              <w:top w:val="nil"/>
              <w:left w:val="nil"/>
              <w:bottom w:val="single" w:sz="4" w:space="0" w:color="auto"/>
              <w:right w:val="single" w:sz="4" w:space="0" w:color="auto"/>
            </w:tcBorders>
            <w:shd w:val="clear" w:color="000000" w:fill="7030A0"/>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Flujo de caja total de actividades en curso</w:t>
            </w:r>
          </w:p>
        </w:tc>
      </w:tr>
      <w:tr w:rsidR="0088013F" w:rsidRPr="00485236" w:rsidTr="00F15BDA">
        <w:trPr>
          <w:trHeight w:val="213"/>
        </w:trPr>
        <w:tc>
          <w:tcPr>
            <w:tcW w:w="3272" w:type="dxa"/>
            <w:tcBorders>
              <w:top w:val="nil"/>
              <w:left w:val="single" w:sz="4" w:space="0" w:color="auto"/>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4791,5</w:t>
            </w:r>
          </w:p>
        </w:tc>
        <w:tc>
          <w:tcPr>
            <w:tcW w:w="3272" w:type="dxa"/>
            <w:tcBorders>
              <w:top w:val="nil"/>
              <w:left w:val="nil"/>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6220,1</w:t>
            </w:r>
          </w:p>
        </w:tc>
      </w:tr>
    </w:tbl>
    <w:p w:rsidR="0088013F" w:rsidRDefault="0088013F" w:rsidP="0088013F"/>
    <w:p w:rsidR="0088013F" w:rsidRDefault="00DB4545" w:rsidP="00EF2AC5">
      <w:pPr>
        <w:jc w:val="both"/>
      </w:pPr>
      <w:r>
        <w:t>Luego procedemos a calcular el valor capitalizado de los beneficios utilizando el WACC bursátil con la siguiente ecuación financiera.</w:t>
      </w:r>
    </w:p>
    <w:p w:rsidR="00DB4545" w:rsidRDefault="00471F62" w:rsidP="00EF2AC5">
      <w:pPr>
        <w:ind w:firstLine="708"/>
        <w:rPr>
          <w:rFonts w:eastAsiaTheme="minorEastAsia"/>
        </w:rPr>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$ 4791,5</m:t>
            </m:r>
          </m:num>
          <m:den>
            <m:r>
              <w:rPr>
                <w:rFonts w:ascii="Cambria Math" w:hAnsi="Cambria Math"/>
              </w:rPr>
              <m:t>0.067</m:t>
            </m:r>
          </m:den>
        </m:f>
        <m:r>
          <w:rPr>
            <w:rFonts w:ascii="Cambria Math" w:hAnsi="Cambria Math"/>
          </w:rPr>
          <m:t>=$ 71,552</m:t>
        </m:r>
      </m:oMath>
      <w:r w:rsidR="00DB4545">
        <w:rPr>
          <w:rFonts w:eastAsiaTheme="minorEastAsia"/>
        </w:rPr>
        <w:t xml:space="preserve">; Valor capitalizado con ganancias netas </w:t>
      </w:r>
    </w:p>
    <w:p w:rsidR="008D2D73" w:rsidRDefault="00471F62" w:rsidP="008D2D73">
      <w:pPr>
        <w:ind w:firstLine="708"/>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$ 6220,1</m:t>
            </m:r>
          </m:num>
          <m:den>
            <m:r>
              <w:rPr>
                <w:rFonts w:ascii="Cambria Math" w:hAnsi="Cambria Math"/>
              </w:rPr>
              <m:t>0.067</m:t>
            </m:r>
          </m:den>
        </m:f>
        <m:r>
          <w:rPr>
            <w:rFonts w:ascii="Cambria Math" w:hAnsi="Cambria Math"/>
          </w:rPr>
          <m:t xml:space="preserve">=$ 92,885 </m:t>
        </m:r>
      </m:oMath>
      <w:r w:rsidR="008D2D73">
        <w:rPr>
          <w:rFonts w:eastAsiaTheme="minorEastAsia"/>
        </w:rPr>
        <w:t xml:space="preserve">; Valor capitalizado con </w:t>
      </w:r>
      <w:r w:rsidR="00ED26E0">
        <w:rPr>
          <w:rFonts w:eastAsiaTheme="minorEastAsia"/>
        </w:rPr>
        <w:t>flujo de actividades</w:t>
      </w:r>
      <w:r w:rsidR="008D2D73">
        <w:rPr>
          <w:rFonts w:eastAsiaTheme="minorEastAsia"/>
        </w:rPr>
        <w:t xml:space="preserve"> </w:t>
      </w:r>
    </w:p>
    <w:p w:rsidR="008D2D73" w:rsidRDefault="008D2D73" w:rsidP="00EF2AC5">
      <w:pPr>
        <w:ind w:firstLine="708"/>
      </w:pPr>
    </w:p>
    <w:p w:rsidR="00DB4545" w:rsidRDefault="00EF2AC5" w:rsidP="00EF2AC5">
      <w:pPr>
        <w:pStyle w:val="Prrafodelista"/>
        <w:numPr>
          <w:ilvl w:val="0"/>
          <w:numId w:val="3"/>
        </w:numPr>
        <w:jc w:val="both"/>
      </w:pPr>
      <w:r>
        <w:t>V</w:t>
      </w:r>
      <w:r w:rsidRPr="00EF2AC5">
        <w:t>alor estimado de la opción de crecimiento</w:t>
      </w:r>
    </w:p>
    <w:p w:rsidR="00DB4545" w:rsidRDefault="00EF2AC5" w:rsidP="00EF2AC5">
      <w:pPr>
        <w:jc w:val="both"/>
      </w:pPr>
      <w:r>
        <w:t xml:space="preserve">El valor estimado de opciones de crecimiento lo obtenemos con la diferencia entre el valor de mercado </w:t>
      </w:r>
      <w:r w:rsidR="002B0C33">
        <w:t xml:space="preserve">(el índice de capitalización bursátil) </w:t>
      </w:r>
      <w:r>
        <w:t xml:space="preserve">de los recursos propios y los valores </w:t>
      </w:r>
      <w:r w:rsidR="00ED26E0">
        <w:t xml:space="preserve">de las </w:t>
      </w:r>
      <w:r w:rsidR="008D2D73">
        <w:t>ganancias netas</w:t>
      </w:r>
      <w:r w:rsidR="00ED26E0">
        <w:t xml:space="preserve"> y flujo de actividades</w:t>
      </w:r>
      <w:r w:rsidR="002B0C33">
        <w:t>.</w:t>
      </w:r>
    </w:p>
    <w:p w:rsidR="00ED26E0" w:rsidRPr="00ED26E0" w:rsidRDefault="00ED26E0" w:rsidP="00EF2AC5">
      <w:pPr>
        <w:jc w:val="both"/>
        <w:rPr>
          <w:u w:val="single"/>
        </w:rPr>
      </w:pPr>
      <w:r w:rsidRPr="00ED26E0">
        <w:rPr>
          <w:u w:val="single"/>
        </w:rPr>
        <w:t>Valor estimado de opciones de crecimiento en millones de dólares</w:t>
      </w:r>
    </w:p>
    <w:p w:rsidR="002B0C33" w:rsidRDefault="002B0C33" w:rsidP="002B0C33">
      <w:pPr>
        <w:jc w:val="both"/>
      </w:pPr>
    </w:p>
    <w:p w:rsidR="002B0C33" w:rsidRDefault="002B0C33" w:rsidP="002B0C33">
      <w:pPr>
        <w:pStyle w:val="Prrafodelista"/>
        <w:numPr>
          <w:ilvl w:val="0"/>
          <w:numId w:val="4"/>
        </w:numPr>
      </w:pPr>
      <w:r w:rsidRPr="002B0C33">
        <w:lastRenderedPageBreak/>
        <w:t>125</w:t>
      </w:r>
      <w:r>
        <w:t>,</w:t>
      </w:r>
      <w:r w:rsidRPr="002B0C33">
        <w:t>581</w:t>
      </w:r>
      <w:r>
        <w:t xml:space="preserve"> - 71,552 =</w:t>
      </w:r>
      <w:r w:rsidR="00ED26E0">
        <w:t xml:space="preserve"> </w:t>
      </w:r>
      <w:r w:rsidRPr="002B0C33">
        <w:rPr>
          <w:b/>
        </w:rPr>
        <w:t>54,029</w:t>
      </w:r>
    </w:p>
    <w:p w:rsidR="00ED26E0" w:rsidRDefault="002B0C33" w:rsidP="002B0C33">
      <w:pPr>
        <w:pStyle w:val="Prrafodelista"/>
        <w:numPr>
          <w:ilvl w:val="0"/>
          <w:numId w:val="4"/>
        </w:numPr>
      </w:pPr>
      <w:r w:rsidRPr="002B0C33">
        <w:t>125</w:t>
      </w:r>
      <w:r>
        <w:t xml:space="preserve">,581 - </w:t>
      </w:r>
      <w:r w:rsidRPr="002B0C33">
        <w:t>92,885</w:t>
      </w:r>
      <w:r>
        <w:t xml:space="preserve"> = </w:t>
      </w:r>
      <w:r w:rsidRPr="002B0C33">
        <w:rPr>
          <w:b/>
        </w:rPr>
        <w:t>32,696</w:t>
      </w:r>
    </w:p>
    <w:p w:rsidR="00782911" w:rsidRDefault="00782911" w:rsidP="0088013F"/>
    <w:p w:rsidR="00DB4545" w:rsidRDefault="00782911" w:rsidP="00782911">
      <w:pPr>
        <w:pStyle w:val="Prrafodelista"/>
        <w:numPr>
          <w:ilvl w:val="0"/>
          <w:numId w:val="3"/>
        </w:numPr>
        <w:jc w:val="both"/>
      </w:pPr>
      <w:r w:rsidRPr="00782911">
        <w:t>Porcentaje del valor de mercado correspondiente a las opciones de crecimiento</w:t>
      </w:r>
    </w:p>
    <w:p w:rsidR="00DB4545" w:rsidRDefault="00986AE8" w:rsidP="00782911">
      <w:pPr>
        <w:jc w:val="both"/>
      </w:pPr>
      <w:r>
        <w:t xml:space="preserve">El índice que nos permite determinar el porcentaje del valor de mercado correspondiente a las opciones de crecimiento para la empresa </w:t>
      </w:r>
      <w:r w:rsidRPr="00E75E0C">
        <w:t xml:space="preserve">McDonald's </w:t>
      </w:r>
      <w:proofErr w:type="spellStart"/>
      <w:r w:rsidRPr="00E75E0C">
        <w:t>Corporation</w:t>
      </w:r>
      <w:proofErr w:type="spellEnd"/>
      <w:r>
        <w:t xml:space="preserve"> resulta de la siguiente manera.</w:t>
      </w:r>
    </w:p>
    <w:p w:rsidR="00782911" w:rsidRPr="00CD73A0" w:rsidRDefault="00471F62" w:rsidP="0088013F">
      <w:pPr>
        <w:rPr>
          <w:rFonts w:eastAsiaTheme="minorEastAsia"/>
        </w:rPr>
      </w:pPr>
      <m:oMathPara>
        <m:oMath>
          <m:f>
            <m:fPr>
              <m:ctrlPr>
                <w:rPr>
                  <w:rFonts w:ascii="Cambria Math" w:hAnsi="Cambria Math"/>
                  <w:i/>
                </w:rPr>
              </m:ctrlPr>
            </m:fPr>
            <m:num>
              <m:r>
                <m:rPr>
                  <m:sty m:val="p"/>
                </m:rPr>
                <w:rPr>
                  <w:rFonts w:ascii="Cambria Math" w:hAnsi="Cambria Math"/>
                </w:rPr>
                <m:t>54,029</m:t>
              </m:r>
            </m:num>
            <m:den>
              <m:r>
                <m:rPr>
                  <m:sty m:val="p"/>
                </m:rPr>
                <w:rPr>
                  <w:rFonts w:ascii="Cambria Math" w:hAnsi="Cambria Math"/>
                </w:rPr>
                <m:t>125,581</m:t>
              </m:r>
            </m:den>
          </m:f>
          <m:r>
            <w:rPr>
              <w:rFonts w:ascii="Cambria Math" w:hAnsi="Cambria Math"/>
            </w:rPr>
            <m:t>= 43.02%</m:t>
          </m:r>
        </m:oMath>
      </m:oMathPara>
    </w:p>
    <w:p w:rsidR="00CD73A0" w:rsidRPr="00CD73A0" w:rsidRDefault="00471F62" w:rsidP="00CD73A0">
      <m:oMathPara>
        <m:oMath>
          <m:f>
            <m:fPr>
              <m:ctrlPr>
                <w:rPr>
                  <w:rFonts w:ascii="Cambria Math" w:hAnsi="Cambria Math"/>
                  <w:i/>
                </w:rPr>
              </m:ctrlPr>
            </m:fPr>
            <m:num>
              <m:r>
                <m:rPr>
                  <m:sty m:val="p"/>
                </m:rPr>
                <w:rPr>
                  <w:rFonts w:ascii="Cambria Math" w:hAnsi="Cambria Math"/>
                </w:rPr>
                <m:t>32,696</m:t>
              </m:r>
            </m:num>
            <m:den>
              <m:r>
                <m:rPr>
                  <m:sty m:val="p"/>
                </m:rPr>
                <w:rPr>
                  <w:rFonts w:ascii="Cambria Math" w:hAnsi="Cambria Math"/>
                </w:rPr>
                <m:t>125,581</m:t>
              </m:r>
            </m:den>
          </m:f>
          <m:r>
            <w:rPr>
              <w:rFonts w:ascii="Cambria Math" w:hAnsi="Cambria Math"/>
            </w:rPr>
            <m:t>= 26.04%</m:t>
          </m:r>
        </m:oMath>
      </m:oMathPara>
    </w:p>
    <w:p w:rsidR="00CD73A0" w:rsidRPr="00CD73A0" w:rsidRDefault="00CD73A0" w:rsidP="0088013F"/>
    <w:p w:rsidR="00782911" w:rsidRDefault="00CD73A0" w:rsidP="0088013F">
      <w:r w:rsidRPr="00CD73A0">
        <w:rPr>
          <w:highlight w:val="yellow"/>
        </w:rPr>
        <w:t>FALTA CONCLUSIONES</w:t>
      </w:r>
      <w:r>
        <w:t xml:space="preserve"> </w:t>
      </w:r>
    </w:p>
    <w:p w:rsidR="00687DF4" w:rsidRPr="0088013F" w:rsidRDefault="00687DF4" w:rsidP="00687DF4">
      <w:pPr>
        <w:jc w:val="both"/>
        <w:rPr>
          <w:b/>
          <w:color w:val="002060"/>
        </w:rPr>
      </w:pPr>
      <w:r>
        <w:rPr>
          <w:b/>
          <w:color w:val="002060"/>
        </w:rPr>
        <w:t>Caso 2</w:t>
      </w:r>
      <w:r w:rsidRPr="0088013F">
        <w:rPr>
          <w:b/>
          <w:color w:val="002060"/>
        </w:rPr>
        <w:t xml:space="preserve">: Opciones de crecimiento de </w:t>
      </w:r>
      <w:proofErr w:type="spellStart"/>
      <w:r w:rsidRPr="00687DF4">
        <w:rPr>
          <w:b/>
          <w:color w:val="002060"/>
        </w:rPr>
        <w:t>The</w:t>
      </w:r>
      <w:proofErr w:type="spellEnd"/>
      <w:r w:rsidRPr="00687DF4">
        <w:rPr>
          <w:b/>
          <w:color w:val="002060"/>
        </w:rPr>
        <w:t xml:space="preserve"> Coca-Cola Company</w:t>
      </w:r>
    </w:p>
    <w:p w:rsidR="00687DF4" w:rsidRDefault="00687DF4" w:rsidP="00687DF4">
      <w:pPr>
        <w:jc w:val="both"/>
      </w:pPr>
      <w:r w:rsidRPr="0088013F">
        <w:t xml:space="preserve">Se pide analizar las opciones de crecimiento para los proyectos de la empresa McDonald's </w:t>
      </w:r>
      <w:proofErr w:type="spellStart"/>
      <w:r w:rsidRPr="0088013F">
        <w:t>Corporation</w:t>
      </w:r>
      <w:proofErr w:type="spellEnd"/>
      <w:r w:rsidRPr="0088013F">
        <w:t xml:space="preserve"> que actualmente cotiza en </w:t>
      </w:r>
      <w:proofErr w:type="spellStart"/>
      <w:r w:rsidRPr="0088013F">
        <w:t>DowJones</w:t>
      </w:r>
      <w:proofErr w:type="spellEnd"/>
      <w:r w:rsidRPr="0088013F">
        <w:t xml:space="preserve"> Industrial </w:t>
      </w:r>
      <w:proofErr w:type="spellStart"/>
      <w:r w:rsidRPr="0088013F">
        <w:t>Average</w:t>
      </w:r>
      <w:proofErr w:type="spellEnd"/>
      <w:r w:rsidRPr="0088013F">
        <w:t xml:space="preserve"> </w:t>
      </w:r>
      <w:r w:rsidRPr="0088013F">
        <w:rPr>
          <w:rStyle w:val="Refdenotaalpie"/>
        </w:rPr>
        <w:footnoteReference w:id="2"/>
      </w:r>
      <w:r>
        <w:t xml:space="preserve"> , utilizando la teoría de opciones de compra sobre activos financieros. Para desarrollar este ejercicio se tiene como información tomada de </w:t>
      </w:r>
      <w:hyperlink r:id="rId10" w:history="1">
        <w:r w:rsidRPr="008D5CB8">
          <w:rPr>
            <w:rStyle w:val="Hipervnculo"/>
          </w:rPr>
          <w:t>https://finance.yahoo.com</w:t>
        </w:r>
      </w:hyperlink>
      <w:r>
        <w:t>, resumen del balance general al 2017 y datos bursátiles para el cálculo del WACC contable y el WACC de mercado utilizando la teoría del CAPM. Se pide calcular: a) valor capitalizado de los beneficios, b) valor estimado de la opción de crecimiento y c) porcentaje del valor de mercado correspondiente a las opciones de crecimiento.</w:t>
      </w:r>
    </w:p>
    <w:p w:rsidR="0088013F" w:rsidRDefault="0088013F" w:rsidP="0088013F">
      <w:r w:rsidRPr="00E75E0C">
        <w:rPr>
          <w:b/>
          <w:noProof/>
          <w:lang w:eastAsia="es-PE"/>
        </w:rPr>
        <mc:AlternateContent>
          <mc:Choice Requires="wps">
            <w:drawing>
              <wp:anchor distT="45720" distB="45720" distL="114300" distR="114300" simplePos="0" relativeHeight="251660288" behindDoc="0" locked="0" layoutInCell="1" allowOverlap="1" wp14:anchorId="3A250D5D" wp14:editId="3A7E6FD1">
                <wp:simplePos x="0" y="0"/>
                <wp:positionH relativeFrom="column">
                  <wp:posOffset>700405</wp:posOffset>
                </wp:positionH>
                <wp:positionV relativeFrom="paragraph">
                  <wp:posOffset>102235</wp:posOffset>
                </wp:positionV>
                <wp:extent cx="387667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noFill/>
                          <a:miter lim="800000"/>
                          <a:headEnd/>
                          <a:tailEnd/>
                        </a:ln>
                      </wps:spPr>
                      <wps:txbx>
                        <w:txbxContent>
                          <w:p w:rsidR="00687DF4" w:rsidRPr="00E75E0C" w:rsidRDefault="00687DF4" w:rsidP="0088013F">
                            <w:pPr>
                              <w:rPr>
                                <w:lang w:val="es-ES"/>
                              </w:rPr>
                            </w:pPr>
                            <w:r w:rsidRPr="00E75E0C">
                              <w:rPr>
                                <w:b/>
                                <w:lang w:val="es-ES"/>
                              </w:rPr>
                              <w:t xml:space="preserve">CASO 2: </w:t>
                            </w:r>
                            <w:proofErr w:type="spellStart"/>
                            <w:r>
                              <w:rPr>
                                <w:lang w:val="es-ES"/>
                              </w:rPr>
                              <w:t>The</w:t>
                            </w:r>
                            <w:proofErr w:type="spellEnd"/>
                            <w:r>
                              <w:rPr>
                                <w:lang w:val="es-ES"/>
                              </w:rPr>
                              <w:t xml:space="preserve"> Coca-Cola Company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50D5D" id="_x0000_t202" coordsize="21600,21600" o:spt="202" path="m,l,21600r21600,l21600,xe">
                <v:stroke joinstyle="miter"/>
                <v:path gradientshapeok="t" o:connecttype="rect"/>
              </v:shapetype>
              <v:shape id="Cuadro de texto 2" o:spid="_x0000_s1026" type="#_x0000_t202" style="position:absolute;margin-left:55.15pt;margin-top:8.05pt;width:30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" stroked="f">
                <v:textbox style="mso-fit-shape-to-text:t">
                  <w:txbxContent>
                    <w:p w:rsidR="00687DF4" w:rsidRPr="00E75E0C" w:rsidRDefault="00687DF4" w:rsidP="0088013F">
                      <w:pPr>
                        <w:rPr>
                          <w:lang w:val="es-ES"/>
                        </w:rPr>
                      </w:pPr>
                      <w:r w:rsidRPr="00E75E0C">
                        <w:rPr>
                          <w:b/>
                          <w:lang w:val="es-ES"/>
                        </w:rPr>
                        <w:t xml:space="preserve">CASO 2: </w:t>
                      </w:r>
                      <w:proofErr w:type="spellStart"/>
                      <w:r>
                        <w:rPr>
                          <w:lang w:val="es-ES"/>
                        </w:rPr>
                        <w:t>The</w:t>
                      </w:r>
                      <w:proofErr w:type="spellEnd"/>
                      <w:r>
                        <w:rPr>
                          <w:lang w:val="es-ES"/>
                        </w:rPr>
                        <w:t xml:space="preserve"> Coca-Cola Company </w:t>
                      </w:r>
                    </w:p>
                  </w:txbxContent>
                </v:textbox>
                <w10:wrap type="square"/>
              </v:shape>
            </w:pict>
          </mc:Fallback>
        </mc:AlternateContent>
      </w:r>
      <w:r>
        <w:rPr>
          <w:noProof/>
          <w:lang w:eastAsia="es-PE"/>
        </w:rPr>
        <w:drawing>
          <wp:inline distT="0" distB="0" distL="0" distR="0" wp14:anchorId="1F948643" wp14:editId="1FEF69F2">
            <wp:extent cx="567055" cy="567055"/>
            <wp:effectExtent l="0" t="0" r="4445" b="4445"/>
            <wp:docPr id="2" name="Imagen 2" descr="Resultado de imagen para coca c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ca col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tbl>
      <w:tblPr>
        <w:tblW w:w="8647" w:type="dxa"/>
        <w:tblInd w:w="-5" w:type="dxa"/>
        <w:tblCellMar>
          <w:left w:w="70" w:type="dxa"/>
          <w:right w:w="70" w:type="dxa"/>
        </w:tblCellMar>
        <w:tblLook w:val="04A0" w:firstRow="1" w:lastRow="0" w:firstColumn="1" w:lastColumn="0" w:noHBand="0" w:noVBand="1"/>
      </w:tblPr>
      <w:tblGrid>
        <w:gridCol w:w="3119"/>
        <w:gridCol w:w="992"/>
        <w:gridCol w:w="3413"/>
        <w:gridCol w:w="1123"/>
      </w:tblGrid>
      <w:tr w:rsidR="0088013F" w:rsidRPr="00E75E0C" w:rsidTr="00687DF4">
        <w:trPr>
          <w:trHeight w:val="300"/>
        </w:trPr>
        <w:tc>
          <w:tcPr>
            <w:tcW w:w="8647" w:type="dxa"/>
            <w:gridSpan w:val="4"/>
            <w:tcBorders>
              <w:top w:val="single" w:sz="4" w:space="0" w:color="000000"/>
              <w:left w:val="single" w:sz="4" w:space="0" w:color="000000"/>
              <w:bottom w:val="single" w:sz="4" w:space="0" w:color="000000"/>
              <w:right w:val="single" w:sz="4" w:space="0" w:color="000000"/>
            </w:tcBorders>
            <w:shd w:val="clear" w:color="7030A0" w:fill="7030A0"/>
            <w:noWrap/>
            <w:vAlign w:val="center"/>
            <w:hideMark/>
          </w:tcPr>
          <w:p w:rsidR="0088013F" w:rsidRPr="00E75E0C" w:rsidRDefault="0088013F" w:rsidP="00687DF4">
            <w:pPr>
              <w:spacing w:after="0" w:line="240" w:lineRule="auto"/>
              <w:jc w:val="center"/>
              <w:rPr>
                <w:rFonts w:ascii="Calibri" w:eastAsia="Times New Roman" w:hAnsi="Calibri" w:cs="Times New Roman"/>
                <w:b/>
                <w:i/>
                <w:color w:val="FFFFFF"/>
                <w:lang w:eastAsia="es-PE"/>
              </w:rPr>
            </w:pPr>
            <w:r w:rsidRPr="00E75E0C">
              <w:rPr>
                <w:rFonts w:ascii="Calibri" w:eastAsia="Times New Roman" w:hAnsi="Calibri" w:cs="Times New Roman"/>
                <w:color w:val="FFFFFF"/>
                <w:lang w:eastAsia="es-PE"/>
              </w:rPr>
              <w:t xml:space="preserve">Balance General </w:t>
            </w:r>
            <w:r>
              <w:rPr>
                <w:rFonts w:ascii="Calibri" w:eastAsia="Times New Roman" w:hAnsi="Calibri" w:cs="Times New Roman"/>
                <w:b/>
                <w:i/>
                <w:color w:val="FFFFFF"/>
                <w:lang w:eastAsia="es-PE"/>
              </w:rPr>
              <w:t>(En millones de dólares)</w:t>
            </w:r>
          </w:p>
        </w:tc>
      </w:tr>
      <w:tr w:rsidR="0088013F" w:rsidRPr="00E75E0C" w:rsidTr="00687DF4">
        <w:trPr>
          <w:trHeight w:val="30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Activos</w:t>
            </w:r>
          </w:p>
        </w:tc>
        <w:tc>
          <w:tcPr>
            <w:tcW w:w="992"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2017</w:t>
            </w:r>
          </w:p>
        </w:tc>
        <w:tc>
          <w:tcPr>
            <w:tcW w:w="3413"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Pasivos</w:t>
            </w:r>
          </w:p>
        </w:tc>
        <w:tc>
          <w:tcPr>
            <w:tcW w:w="1123"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2017</w:t>
            </w:r>
          </w:p>
        </w:tc>
      </w:tr>
      <w:tr w:rsidR="0088013F" w:rsidRPr="00E75E0C" w:rsidTr="00687DF4">
        <w:trPr>
          <w:trHeight w:val="30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activos corrientes</w:t>
            </w:r>
          </w:p>
        </w:tc>
        <w:tc>
          <w:tcPr>
            <w:tcW w:w="992"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36545</w:t>
            </w:r>
          </w:p>
        </w:tc>
        <w:tc>
          <w:tcPr>
            <w:tcW w:w="3413"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Total de pasivos corrientes</w:t>
            </w:r>
          </w:p>
        </w:tc>
        <w:tc>
          <w:tcPr>
            <w:tcW w:w="1123"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27194</w:t>
            </w:r>
          </w:p>
        </w:tc>
      </w:tr>
      <w:tr w:rsidR="0088013F" w:rsidRPr="00E75E0C" w:rsidTr="00687DF4">
        <w:trPr>
          <w:trHeight w:val="66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 xml:space="preserve">Total de activos no corrientes </w:t>
            </w:r>
          </w:p>
        </w:tc>
        <w:tc>
          <w:tcPr>
            <w:tcW w:w="992"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51351</w:t>
            </w:r>
          </w:p>
        </w:tc>
        <w:tc>
          <w:tcPr>
            <w:tcW w:w="341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Total de pasivos no corrientes</w:t>
            </w:r>
          </w:p>
        </w:tc>
        <w:tc>
          <w:tcPr>
            <w:tcW w:w="112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41725</w:t>
            </w:r>
          </w:p>
        </w:tc>
      </w:tr>
      <w:tr w:rsidR="0088013F" w:rsidRPr="00E75E0C" w:rsidTr="00687DF4">
        <w:trPr>
          <w:trHeight w:val="36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341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la deuda</w:t>
            </w:r>
          </w:p>
        </w:tc>
        <w:tc>
          <w:tcPr>
            <w:tcW w:w="112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68919</w:t>
            </w:r>
          </w:p>
        </w:tc>
      </w:tr>
      <w:tr w:rsidR="0088013F" w:rsidRPr="00E75E0C" w:rsidTr="00687DF4">
        <w:trPr>
          <w:trHeight w:val="36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jc w:val="center"/>
              <w:rPr>
                <w:rFonts w:ascii="Calibri" w:eastAsia="Times New Roman" w:hAnsi="Calibri" w:cs="Times New Roman"/>
                <w:color w:val="000000"/>
                <w:lang w:eastAsia="es-PE"/>
              </w:rPr>
            </w:pPr>
            <w:r w:rsidRPr="00E75E0C">
              <w:rPr>
                <w:rFonts w:ascii="Calibri" w:eastAsia="Times New Roman" w:hAnsi="Calibri" w:cs="Times New Roman"/>
                <w:color w:val="000000"/>
                <w:lang w:eastAsia="es-PE"/>
              </w:rPr>
              <w:t> </w:t>
            </w:r>
          </w:p>
        </w:tc>
        <w:tc>
          <w:tcPr>
            <w:tcW w:w="341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proofErr w:type="spellStart"/>
            <w:r w:rsidRPr="00E75E0C">
              <w:rPr>
                <w:rFonts w:ascii="Calibri" w:eastAsia="Times New Roman" w:hAnsi="Calibri" w:cs="Times New Roman"/>
                <w:b/>
                <w:bCs/>
                <w:color w:val="000000"/>
                <w:lang w:eastAsia="es-PE"/>
              </w:rPr>
              <w:t>Equity</w:t>
            </w:r>
            <w:proofErr w:type="spellEnd"/>
          </w:p>
        </w:tc>
        <w:tc>
          <w:tcPr>
            <w:tcW w:w="112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18977</w:t>
            </w:r>
          </w:p>
        </w:tc>
      </w:tr>
      <w:tr w:rsidR="0088013F" w:rsidRPr="00E75E0C" w:rsidTr="00687DF4">
        <w:trPr>
          <w:trHeight w:val="300"/>
        </w:trPr>
        <w:tc>
          <w:tcPr>
            <w:tcW w:w="3119"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activos</w:t>
            </w:r>
          </w:p>
        </w:tc>
        <w:tc>
          <w:tcPr>
            <w:tcW w:w="992" w:type="dxa"/>
            <w:tcBorders>
              <w:top w:val="nil"/>
              <w:left w:val="nil"/>
              <w:bottom w:val="single" w:sz="4" w:space="0" w:color="000000"/>
              <w:right w:val="single" w:sz="4" w:space="0" w:color="000000"/>
            </w:tcBorders>
            <w:shd w:val="clear" w:color="auto" w:fill="auto"/>
            <w:noWrap/>
            <w:vAlign w:val="center"/>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87896</w:t>
            </w:r>
          </w:p>
        </w:tc>
        <w:tc>
          <w:tcPr>
            <w:tcW w:w="341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Total de pasivos</w:t>
            </w:r>
          </w:p>
        </w:tc>
        <w:tc>
          <w:tcPr>
            <w:tcW w:w="1123" w:type="dxa"/>
            <w:tcBorders>
              <w:top w:val="nil"/>
              <w:left w:val="nil"/>
              <w:bottom w:val="single" w:sz="4" w:space="0" w:color="000000"/>
              <w:right w:val="single" w:sz="4" w:space="0" w:color="000000"/>
            </w:tcBorders>
            <w:shd w:val="clear" w:color="FFFFFF" w:fill="FFFFFF"/>
            <w:noWrap/>
            <w:vAlign w:val="bottom"/>
            <w:hideMark/>
          </w:tcPr>
          <w:p w:rsidR="0088013F" w:rsidRPr="00E75E0C" w:rsidRDefault="0088013F" w:rsidP="00687DF4">
            <w:pPr>
              <w:spacing w:after="0" w:line="240" w:lineRule="auto"/>
              <w:jc w:val="center"/>
              <w:rPr>
                <w:rFonts w:ascii="Calibri" w:eastAsia="Times New Roman" w:hAnsi="Calibri" w:cs="Times New Roman"/>
                <w:b/>
                <w:bCs/>
                <w:color w:val="000000"/>
                <w:lang w:eastAsia="es-PE"/>
              </w:rPr>
            </w:pPr>
            <w:r w:rsidRPr="00E75E0C">
              <w:rPr>
                <w:rFonts w:ascii="Calibri" w:eastAsia="Times New Roman" w:hAnsi="Calibri" w:cs="Times New Roman"/>
                <w:b/>
                <w:bCs/>
                <w:color w:val="000000"/>
                <w:lang w:eastAsia="es-PE"/>
              </w:rPr>
              <w:t>87896</w:t>
            </w:r>
          </w:p>
        </w:tc>
      </w:tr>
    </w:tbl>
    <w:p w:rsidR="00687DF4" w:rsidRDefault="00687DF4" w:rsidP="0088013F"/>
    <w:p w:rsidR="00687DF4" w:rsidRDefault="00687DF4" w:rsidP="00687DF4">
      <w:pPr>
        <w:jc w:val="both"/>
      </w:pPr>
      <w:r>
        <w:t>SOLUCIÓN</w:t>
      </w:r>
    </w:p>
    <w:p w:rsidR="00687DF4" w:rsidRPr="0061502A" w:rsidRDefault="00687DF4" w:rsidP="00687DF4">
      <w:pPr>
        <w:pStyle w:val="Prrafodelista"/>
        <w:numPr>
          <w:ilvl w:val="0"/>
          <w:numId w:val="5"/>
        </w:numPr>
        <w:jc w:val="both"/>
        <w:rPr>
          <w:b/>
        </w:rPr>
      </w:pPr>
      <w:r w:rsidRPr="0061502A">
        <w:rPr>
          <w:b/>
        </w:rPr>
        <w:lastRenderedPageBreak/>
        <w:t xml:space="preserve">Valor capitalizado de los beneficios </w:t>
      </w:r>
    </w:p>
    <w:p w:rsidR="00687DF4" w:rsidRDefault="00687DF4" w:rsidP="00687DF4">
      <w:pPr>
        <w:jc w:val="both"/>
      </w:pPr>
      <w:r w:rsidRPr="00687DF4">
        <w:rPr>
          <w:highlight w:val="yellow"/>
        </w:rPr>
        <w:t>Primero analizamos el costo ponderado de capital (WACC) bajo el enfoque del CAPM y cuyos resultados se pueden apreciar en la siguiente Tabla, además se tiene como información el promedio de los últimos cuatro años de las ganancias netas de esta empresa que cotiza en la bolsa de EE.UU.</w:t>
      </w:r>
    </w:p>
    <w:p w:rsidR="00687DF4" w:rsidRDefault="00687DF4" w:rsidP="00687DF4">
      <w:r w:rsidRPr="00E75E0C">
        <w:rPr>
          <w:b/>
          <w:i/>
        </w:rPr>
        <w:t>Índice de capitalización bursátil:</w:t>
      </w:r>
      <w:r>
        <w:t xml:space="preserve"> $ </w:t>
      </w:r>
      <w:r w:rsidRPr="009D7077">
        <w:t>188</w:t>
      </w:r>
      <w:r>
        <w:t>,</w:t>
      </w:r>
      <w:r w:rsidRPr="009D7077">
        <w:t>934</w:t>
      </w:r>
      <w:r>
        <w:t>millones.</w:t>
      </w:r>
    </w:p>
    <w:tbl>
      <w:tblPr>
        <w:tblW w:w="5900" w:type="dxa"/>
        <w:tblInd w:w="-5" w:type="dxa"/>
        <w:tblCellMar>
          <w:left w:w="70" w:type="dxa"/>
          <w:right w:w="70" w:type="dxa"/>
        </w:tblCellMar>
        <w:tblLook w:val="04A0" w:firstRow="1" w:lastRow="0" w:firstColumn="1" w:lastColumn="0" w:noHBand="0" w:noVBand="1"/>
      </w:tblPr>
      <w:tblGrid>
        <w:gridCol w:w="4620"/>
        <w:gridCol w:w="1280"/>
      </w:tblGrid>
      <w:tr w:rsidR="0088013F" w:rsidRPr="00450057" w:rsidTr="00687DF4">
        <w:trPr>
          <w:trHeight w:val="300"/>
        </w:trPr>
        <w:tc>
          <w:tcPr>
            <w:tcW w:w="4620" w:type="dxa"/>
            <w:tcBorders>
              <w:top w:val="single" w:sz="4" w:space="0" w:color="000000"/>
              <w:left w:val="single" w:sz="4" w:space="0" w:color="000000"/>
              <w:bottom w:val="single" w:sz="4" w:space="0" w:color="000000"/>
              <w:right w:val="single" w:sz="4" w:space="0" w:color="000000"/>
            </w:tcBorders>
            <w:shd w:val="clear" w:color="7030A0" w:fill="7030A0"/>
            <w:noWrap/>
            <w:vAlign w:val="bottom"/>
            <w:hideMark/>
          </w:tcPr>
          <w:p w:rsidR="0088013F" w:rsidRPr="00450057" w:rsidRDefault="0088013F" w:rsidP="00687DF4">
            <w:pPr>
              <w:spacing w:after="0" w:line="240" w:lineRule="auto"/>
              <w:jc w:val="center"/>
              <w:rPr>
                <w:rFonts w:ascii="Calibri" w:eastAsia="Times New Roman" w:hAnsi="Calibri" w:cs="Times New Roman"/>
                <w:color w:val="FFFFFF"/>
                <w:lang w:eastAsia="es-PE"/>
              </w:rPr>
            </w:pPr>
            <w:r>
              <w:rPr>
                <w:rFonts w:ascii="Calibri" w:eastAsia="Times New Roman" w:hAnsi="Calibri" w:cs="Times New Roman"/>
                <w:color w:val="FFFFFF"/>
                <w:lang w:eastAsia="es-PE"/>
              </w:rPr>
              <w:t>Coca-Cola Company</w:t>
            </w:r>
          </w:p>
        </w:tc>
        <w:tc>
          <w:tcPr>
            <w:tcW w:w="1280" w:type="dxa"/>
            <w:tcBorders>
              <w:top w:val="single" w:sz="4" w:space="0" w:color="000000"/>
              <w:left w:val="nil"/>
              <w:bottom w:val="single" w:sz="4" w:space="0" w:color="000000"/>
              <w:right w:val="single" w:sz="4" w:space="0" w:color="000000"/>
            </w:tcBorders>
            <w:shd w:val="clear" w:color="7030A0" w:fill="7030A0"/>
            <w:noWrap/>
            <w:vAlign w:val="bottom"/>
            <w:hideMark/>
          </w:tcPr>
          <w:p w:rsidR="0088013F" w:rsidRPr="00450057" w:rsidRDefault="0088013F" w:rsidP="00687DF4">
            <w:pPr>
              <w:spacing w:after="0" w:line="240" w:lineRule="auto"/>
              <w:jc w:val="center"/>
              <w:rPr>
                <w:rFonts w:ascii="Calibri" w:eastAsia="Times New Roman" w:hAnsi="Calibri" w:cs="Times New Roman"/>
                <w:color w:val="FFFFFF"/>
                <w:lang w:eastAsia="es-PE"/>
              </w:rPr>
            </w:pPr>
            <w:r w:rsidRPr="00450057">
              <w:rPr>
                <w:rFonts w:ascii="Calibri" w:eastAsia="Times New Roman" w:hAnsi="Calibri" w:cs="Times New Roman"/>
                <w:color w:val="FFFFFF"/>
                <w:lang w:eastAsia="es-PE"/>
              </w:rPr>
              <w:t>2017</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Beta(β)</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0,53</w:t>
            </w:r>
          </w:p>
        </w:tc>
      </w:tr>
      <w:tr w:rsidR="0088013F" w:rsidRPr="00450057" w:rsidTr="00687DF4">
        <w:trPr>
          <w:trHeight w:val="660"/>
        </w:trPr>
        <w:tc>
          <w:tcPr>
            <w:tcW w:w="4620" w:type="dxa"/>
            <w:tcBorders>
              <w:top w:val="nil"/>
              <w:left w:val="single" w:sz="4" w:space="0" w:color="000000"/>
              <w:bottom w:val="single" w:sz="4" w:space="0" w:color="000000"/>
              <w:right w:val="single" w:sz="4" w:space="0" w:color="000000"/>
            </w:tcBorders>
            <w:shd w:val="clear" w:color="FFFFFF" w:fill="FFFFFF"/>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Rendimiento de  bono norteamericano por 10 años(K</w:t>
            </w:r>
            <w:r w:rsidRPr="00450057">
              <w:rPr>
                <w:rFonts w:ascii="Calibri" w:eastAsia="Times New Roman" w:hAnsi="Calibri" w:cs="Times New Roman"/>
                <w:color w:val="000000"/>
                <w:vertAlign w:val="subscript"/>
                <w:lang w:eastAsia="es-PE"/>
              </w:rPr>
              <w:t>R</w:t>
            </w:r>
            <w:r w:rsidRPr="00450057">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2,957%</w:t>
            </w:r>
          </w:p>
        </w:tc>
      </w:tr>
      <w:tr w:rsidR="0088013F" w:rsidRPr="00450057"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Prima de riesgo (K</w:t>
            </w:r>
            <w:r w:rsidRPr="00450057">
              <w:rPr>
                <w:rFonts w:ascii="Calibri" w:eastAsia="Times New Roman" w:hAnsi="Calibri" w:cs="Times New Roman"/>
                <w:color w:val="000000"/>
                <w:vertAlign w:val="subscript"/>
                <w:lang w:eastAsia="es-PE"/>
              </w:rPr>
              <w:t>M</w:t>
            </w:r>
            <w:r w:rsidRPr="00450057">
              <w:rPr>
                <w:rFonts w:ascii="Calibri" w:eastAsia="Times New Roman" w:hAnsi="Calibri" w:cs="Times New Roman"/>
                <w:color w:val="000000"/>
                <w:lang w:eastAsia="es-PE"/>
              </w:rPr>
              <w:t>-K</w:t>
            </w:r>
            <w:r w:rsidRPr="00450057">
              <w:rPr>
                <w:rFonts w:ascii="Calibri" w:eastAsia="Times New Roman" w:hAnsi="Calibri" w:cs="Times New Roman"/>
                <w:color w:val="000000"/>
                <w:vertAlign w:val="subscript"/>
                <w:lang w:eastAsia="es-PE"/>
              </w:rPr>
              <w:t>R</w:t>
            </w:r>
            <w:r w:rsidRPr="00450057">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7,6%</w:t>
            </w:r>
          </w:p>
        </w:tc>
      </w:tr>
      <w:tr w:rsidR="0088013F" w:rsidRPr="00450057"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Costo de los fondos propios</w:t>
            </w:r>
            <w:r w:rsidRPr="00450057">
              <w:rPr>
                <w:rFonts w:ascii="Calibri" w:eastAsia="Times New Roman" w:hAnsi="Calibri" w:cs="Times New Roman"/>
                <w:b/>
                <w:bCs/>
                <w:color w:val="000000"/>
                <w:lang w:eastAsia="es-PE"/>
              </w:rPr>
              <w:t xml:space="preserve"> [Ke= K</w:t>
            </w:r>
            <w:r w:rsidRPr="00450057">
              <w:rPr>
                <w:rFonts w:ascii="Calibri" w:eastAsia="Times New Roman" w:hAnsi="Calibri" w:cs="Times New Roman"/>
                <w:b/>
                <w:bCs/>
                <w:color w:val="000000"/>
                <w:vertAlign w:val="subscript"/>
                <w:lang w:eastAsia="es-PE"/>
              </w:rPr>
              <w:t>R</w:t>
            </w:r>
            <w:r w:rsidRPr="00450057">
              <w:rPr>
                <w:rFonts w:ascii="Calibri" w:eastAsia="Times New Roman" w:hAnsi="Calibri" w:cs="Times New Roman"/>
                <w:b/>
                <w:bCs/>
                <w:color w:val="000000"/>
                <w:lang w:eastAsia="es-PE"/>
              </w:rPr>
              <w:t>+β(K</w:t>
            </w:r>
            <w:r w:rsidRPr="00450057">
              <w:rPr>
                <w:rFonts w:ascii="Calibri" w:eastAsia="Times New Roman" w:hAnsi="Calibri" w:cs="Times New Roman"/>
                <w:b/>
                <w:bCs/>
                <w:color w:val="000000"/>
                <w:vertAlign w:val="subscript"/>
                <w:lang w:eastAsia="es-PE"/>
              </w:rPr>
              <w:t>M</w:t>
            </w:r>
            <w:r w:rsidRPr="00450057">
              <w:rPr>
                <w:rFonts w:ascii="Calibri" w:eastAsia="Times New Roman" w:hAnsi="Calibri" w:cs="Times New Roman"/>
                <w:b/>
                <w:bCs/>
                <w:color w:val="000000"/>
                <w:lang w:eastAsia="es-PE"/>
              </w:rPr>
              <w:t>-K</w:t>
            </w:r>
            <w:r w:rsidRPr="00450057">
              <w:rPr>
                <w:rFonts w:ascii="Calibri" w:eastAsia="Times New Roman" w:hAnsi="Calibri" w:cs="Times New Roman"/>
                <w:b/>
                <w:bCs/>
                <w:color w:val="000000"/>
                <w:vertAlign w:val="subscript"/>
                <w:lang w:eastAsia="es-PE"/>
              </w:rPr>
              <w:t>R</w:t>
            </w:r>
            <w:r w:rsidRPr="00450057">
              <w:rPr>
                <w:rFonts w:ascii="Calibri" w:eastAsia="Times New Roman" w:hAnsi="Calibri" w:cs="Times New Roman"/>
                <w:b/>
                <w:bCs/>
                <w:color w:val="000000"/>
                <w:lang w:eastAsia="es-PE"/>
              </w:rPr>
              <w: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6,985%</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Capital(C)</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18977</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Deuda(D)</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68919</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Tasa impositiva(T)</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20%</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Tasa de interés(Kd)</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color w:val="000000"/>
                <w:lang w:eastAsia="es-PE"/>
              </w:rPr>
            </w:pPr>
            <w:r w:rsidRPr="00450057">
              <w:rPr>
                <w:rFonts w:ascii="Calibri" w:eastAsia="Times New Roman" w:hAnsi="Calibri" w:cs="Times New Roman"/>
                <w:color w:val="000000"/>
                <w:lang w:eastAsia="es-PE"/>
              </w:rPr>
              <w:t>2,00%</w:t>
            </w:r>
          </w:p>
        </w:tc>
      </w:tr>
      <w:tr w:rsidR="0088013F" w:rsidRPr="00450057" w:rsidTr="00687DF4">
        <w:trPr>
          <w:trHeight w:val="318"/>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b/>
                <w:bCs/>
                <w:color w:val="000000"/>
                <w:lang w:eastAsia="es-PE"/>
              </w:rPr>
            </w:pPr>
            <w:r w:rsidRPr="00450057">
              <w:rPr>
                <w:rFonts w:ascii="Calibri" w:eastAsia="Times New Roman" w:hAnsi="Calibri" w:cs="Times New Roman"/>
                <w:b/>
                <w:bCs/>
                <w:color w:val="000000"/>
                <w:lang w:eastAsia="es-PE"/>
              </w:rPr>
              <w:t>WACC (valor contable)</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b/>
                <w:bCs/>
                <w:color w:val="000000"/>
                <w:lang w:eastAsia="es-PE"/>
              </w:rPr>
            </w:pPr>
            <w:r w:rsidRPr="00450057">
              <w:rPr>
                <w:rFonts w:ascii="Calibri" w:eastAsia="Times New Roman" w:hAnsi="Calibri" w:cs="Times New Roman"/>
                <w:b/>
                <w:bCs/>
                <w:color w:val="000000"/>
                <w:lang w:eastAsia="es-PE"/>
              </w:rPr>
              <w:t>2,76%</w:t>
            </w:r>
          </w:p>
        </w:tc>
      </w:tr>
      <w:tr w:rsidR="0088013F" w:rsidRPr="00450057"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rPr>
                <w:rFonts w:ascii="Calibri" w:eastAsia="Times New Roman" w:hAnsi="Calibri" w:cs="Times New Roman"/>
                <w:b/>
                <w:bCs/>
                <w:color w:val="000000"/>
                <w:lang w:eastAsia="es-PE"/>
              </w:rPr>
            </w:pPr>
            <w:r w:rsidRPr="00450057">
              <w:rPr>
                <w:rFonts w:ascii="Calibri" w:eastAsia="Times New Roman" w:hAnsi="Calibri" w:cs="Times New Roman"/>
                <w:b/>
                <w:bCs/>
                <w:color w:val="000000"/>
                <w:lang w:eastAsia="es-PE"/>
              </w:rPr>
              <w:t>WACC (valor de mercado)</w:t>
            </w:r>
          </w:p>
        </w:tc>
        <w:tc>
          <w:tcPr>
            <w:tcW w:w="1280" w:type="dxa"/>
            <w:tcBorders>
              <w:top w:val="nil"/>
              <w:left w:val="nil"/>
              <w:bottom w:val="single" w:sz="4" w:space="0" w:color="000000"/>
              <w:right w:val="single" w:sz="4" w:space="0" w:color="000000"/>
            </w:tcBorders>
            <w:shd w:val="clear" w:color="FFFFFF" w:fill="FFFFFF"/>
            <w:noWrap/>
            <w:vAlign w:val="bottom"/>
            <w:hideMark/>
          </w:tcPr>
          <w:p w:rsidR="0088013F" w:rsidRPr="00450057" w:rsidRDefault="0088013F" w:rsidP="00687DF4">
            <w:pPr>
              <w:spacing w:after="0" w:line="240" w:lineRule="auto"/>
              <w:jc w:val="center"/>
              <w:rPr>
                <w:rFonts w:ascii="Calibri" w:eastAsia="Times New Roman" w:hAnsi="Calibri" w:cs="Times New Roman"/>
                <w:b/>
                <w:bCs/>
                <w:color w:val="000000"/>
                <w:lang w:eastAsia="es-PE"/>
              </w:rPr>
            </w:pPr>
            <w:r w:rsidRPr="00450057">
              <w:rPr>
                <w:rFonts w:ascii="Calibri" w:eastAsia="Times New Roman" w:hAnsi="Calibri" w:cs="Times New Roman"/>
                <w:b/>
                <w:bCs/>
                <w:color w:val="000000"/>
                <w:lang w:eastAsia="es-PE"/>
              </w:rPr>
              <w:t>5,55%</w:t>
            </w:r>
          </w:p>
        </w:tc>
      </w:tr>
    </w:tbl>
    <w:p w:rsidR="0088013F" w:rsidRDefault="0088013F" w:rsidP="0088013F"/>
    <w:tbl>
      <w:tblPr>
        <w:tblW w:w="6444" w:type="dxa"/>
        <w:tblCellMar>
          <w:left w:w="70" w:type="dxa"/>
          <w:right w:w="70" w:type="dxa"/>
        </w:tblCellMar>
        <w:tblLook w:val="04A0" w:firstRow="1" w:lastRow="0" w:firstColumn="1" w:lastColumn="0" w:noHBand="0" w:noVBand="1"/>
      </w:tblPr>
      <w:tblGrid>
        <w:gridCol w:w="3111"/>
        <w:gridCol w:w="3333"/>
      </w:tblGrid>
      <w:tr w:rsidR="0088013F" w:rsidRPr="00485236" w:rsidTr="00687DF4">
        <w:trPr>
          <w:trHeight w:val="202"/>
        </w:trPr>
        <w:tc>
          <w:tcPr>
            <w:tcW w:w="6444" w:type="dxa"/>
            <w:gridSpan w:val="2"/>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Promedio de los 4 últimos años</w:t>
            </w:r>
            <w:r w:rsidR="00687DF4">
              <w:rPr>
                <w:rFonts w:ascii="Calibri" w:eastAsia="Times New Roman" w:hAnsi="Calibri" w:cs="Times New Roman"/>
                <w:color w:val="FFFFFF"/>
                <w:lang w:eastAsia="es-PE"/>
              </w:rPr>
              <w:t xml:space="preserve"> </w:t>
            </w:r>
            <w:r w:rsidR="00687DF4" w:rsidRPr="00687DF4">
              <w:rPr>
                <w:rFonts w:ascii="Calibri" w:eastAsia="Times New Roman" w:hAnsi="Calibri" w:cs="Times New Roman"/>
                <w:color w:val="FFFFFF"/>
                <w:lang w:eastAsia="es-PE"/>
              </w:rPr>
              <w:t>(En millones de dólares)</w:t>
            </w:r>
          </w:p>
        </w:tc>
      </w:tr>
      <w:tr w:rsidR="0088013F" w:rsidRPr="00485236" w:rsidTr="00687DF4">
        <w:trPr>
          <w:trHeight w:val="588"/>
        </w:trPr>
        <w:tc>
          <w:tcPr>
            <w:tcW w:w="3111" w:type="dxa"/>
            <w:tcBorders>
              <w:top w:val="nil"/>
              <w:left w:val="single" w:sz="4" w:space="0" w:color="auto"/>
              <w:bottom w:val="single" w:sz="4" w:space="0" w:color="auto"/>
              <w:right w:val="single" w:sz="4" w:space="0" w:color="auto"/>
            </w:tcBorders>
            <w:shd w:val="clear" w:color="000000" w:fill="7030A0"/>
            <w:vAlign w:val="center"/>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Ganancias Netas</w:t>
            </w:r>
          </w:p>
        </w:tc>
        <w:tc>
          <w:tcPr>
            <w:tcW w:w="3332" w:type="dxa"/>
            <w:tcBorders>
              <w:top w:val="nil"/>
              <w:left w:val="nil"/>
              <w:bottom w:val="single" w:sz="4" w:space="0" w:color="auto"/>
              <w:right w:val="single" w:sz="4" w:space="0" w:color="auto"/>
            </w:tcBorders>
            <w:shd w:val="clear" w:color="000000" w:fill="7030A0"/>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Flujo de caja total de actividades en curso</w:t>
            </w:r>
          </w:p>
        </w:tc>
      </w:tr>
      <w:tr w:rsidR="0088013F" w:rsidRPr="00485236" w:rsidTr="00687DF4">
        <w:trPr>
          <w:trHeight w:val="233"/>
        </w:trPr>
        <w:tc>
          <w:tcPr>
            <w:tcW w:w="3111" w:type="dxa"/>
            <w:tcBorders>
              <w:top w:val="nil"/>
              <w:left w:val="single" w:sz="4" w:space="0" w:color="auto"/>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5556,0</w:t>
            </w:r>
          </w:p>
        </w:tc>
        <w:tc>
          <w:tcPr>
            <w:tcW w:w="3332" w:type="dxa"/>
            <w:tcBorders>
              <w:top w:val="nil"/>
              <w:left w:val="nil"/>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9261,3</w:t>
            </w:r>
          </w:p>
        </w:tc>
      </w:tr>
    </w:tbl>
    <w:p w:rsidR="0088013F" w:rsidRDefault="0088013F" w:rsidP="0088013F"/>
    <w:p w:rsidR="00687DF4" w:rsidRDefault="00687DF4" w:rsidP="00687DF4">
      <w:pPr>
        <w:jc w:val="both"/>
      </w:pPr>
      <w:r>
        <w:t>Luego procedemos a calcular el valor capitalizado de los beneficios utilizando el WACC bursátil con la siguiente ecuación financiera.</w:t>
      </w:r>
    </w:p>
    <w:p w:rsidR="00687DF4" w:rsidRDefault="00471F62" w:rsidP="00687DF4">
      <w:pPr>
        <w:ind w:firstLine="708"/>
        <w:rPr>
          <w:rFonts w:eastAsiaTheme="minorEastAsia"/>
        </w:rPr>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$ 5,556,0</m:t>
            </m:r>
          </m:num>
          <m:den>
            <m:r>
              <w:rPr>
                <w:rFonts w:ascii="Cambria Math" w:hAnsi="Cambria Math"/>
              </w:rPr>
              <m:t>0.0555</m:t>
            </m:r>
          </m:den>
        </m:f>
        <m:r>
          <w:rPr>
            <w:rFonts w:ascii="Cambria Math" w:hAnsi="Cambria Math"/>
          </w:rPr>
          <m:t>=$ 100,186</m:t>
        </m:r>
      </m:oMath>
      <w:r w:rsidR="00687DF4">
        <w:rPr>
          <w:rFonts w:eastAsiaTheme="minorEastAsia"/>
        </w:rPr>
        <w:t xml:space="preserve">; Valor capitalizado con ganancias netas </w:t>
      </w:r>
    </w:p>
    <w:p w:rsidR="00687DF4" w:rsidRDefault="00471F62" w:rsidP="00687DF4">
      <w:pPr>
        <w:ind w:firstLine="708"/>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$ 9,261,3</m:t>
            </m:r>
          </m:num>
          <m:den>
            <m:r>
              <w:rPr>
                <w:rFonts w:ascii="Cambria Math" w:hAnsi="Cambria Math"/>
              </w:rPr>
              <m:t>0.0555</m:t>
            </m:r>
          </m:den>
        </m:f>
        <m:r>
          <w:rPr>
            <w:rFonts w:ascii="Cambria Math" w:hAnsi="Cambria Math"/>
          </w:rPr>
          <m:t xml:space="preserve">=$ 166,999 </m:t>
        </m:r>
      </m:oMath>
      <w:r w:rsidR="00687DF4">
        <w:rPr>
          <w:rFonts w:eastAsiaTheme="minorEastAsia"/>
        </w:rPr>
        <w:t xml:space="preserve">; Valor capitalizado con flujo de actividades </w:t>
      </w:r>
    </w:p>
    <w:p w:rsidR="00687DF4" w:rsidRDefault="00687DF4" w:rsidP="00687DF4">
      <w:pPr>
        <w:ind w:firstLine="708"/>
      </w:pPr>
    </w:p>
    <w:p w:rsidR="00687DF4" w:rsidRDefault="00687DF4" w:rsidP="004F3162">
      <w:pPr>
        <w:pStyle w:val="Prrafodelista"/>
        <w:numPr>
          <w:ilvl w:val="0"/>
          <w:numId w:val="5"/>
        </w:numPr>
        <w:jc w:val="both"/>
      </w:pPr>
      <w:r>
        <w:t>V</w:t>
      </w:r>
      <w:r w:rsidRPr="00EF2AC5">
        <w:t>alor estimado de la opción de crecimiento</w:t>
      </w:r>
    </w:p>
    <w:p w:rsidR="00687DF4" w:rsidRDefault="00687DF4" w:rsidP="00687DF4">
      <w:pPr>
        <w:jc w:val="both"/>
      </w:pPr>
      <w:r>
        <w:t>El valor estimado de opciones de crecimiento lo obtenemos con la diferencia entre el valor de mercado (el índice de capitalización bursátil) de los recursos propios y los valores de las ganancias netas y flujo de actividades.</w:t>
      </w:r>
    </w:p>
    <w:p w:rsidR="00687DF4" w:rsidRPr="00ED26E0" w:rsidRDefault="00687DF4" w:rsidP="00687DF4">
      <w:pPr>
        <w:jc w:val="both"/>
        <w:rPr>
          <w:u w:val="single"/>
        </w:rPr>
      </w:pPr>
      <w:r w:rsidRPr="00ED26E0">
        <w:rPr>
          <w:u w:val="single"/>
        </w:rPr>
        <w:t>Valor estimado de opciones de crecimiento en millones de dólares</w:t>
      </w:r>
    </w:p>
    <w:p w:rsidR="00687DF4" w:rsidRDefault="00D068EB" w:rsidP="00D068EB">
      <w:pPr>
        <w:pStyle w:val="Prrafodelista"/>
        <w:numPr>
          <w:ilvl w:val="0"/>
          <w:numId w:val="4"/>
        </w:numPr>
      </w:pPr>
      <w:r w:rsidRPr="00D068EB">
        <w:t>188,934</w:t>
      </w:r>
      <w:r>
        <w:t xml:space="preserve"> </w:t>
      </w:r>
      <w:r w:rsidR="00687DF4">
        <w:t xml:space="preserve">- </w:t>
      </w:r>
      <w:r w:rsidRPr="00D068EB">
        <w:t>100,186</w:t>
      </w:r>
      <w:r w:rsidR="00687DF4">
        <w:t xml:space="preserve"> = </w:t>
      </w:r>
      <w:r w:rsidRPr="00D068EB">
        <w:rPr>
          <w:b/>
        </w:rPr>
        <w:t>88</w:t>
      </w:r>
      <w:r>
        <w:rPr>
          <w:b/>
        </w:rPr>
        <w:t>,</w:t>
      </w:r>
      <w:r w:rsidRPr="00D068EB">
        <w:rPr>
          <w:b/>
        </w:rPr>
        <w:t>748</w:t>
      </w:r>
    </w:p>
    <w:p w:rsidR="00687DF4" w:rsidRDefault="00D068EB" w:rsidP="00D068EB">
      <w:pPr>
        <w:pStyle w:val="Prrafodelista"/>
        <w:numPr>
          <w:ilvl w:val="0"/>
          <w:numId w:val="4"/>
        </w:numPr>
      </w:pPr>
      <w:r w:rsidRPr="00D068EB">
        <w:t>188,934</w:t>
      </w:r>
      <w:r>
        <w:t xml:space="preserve"> </w:t>
      </w:r>
      <w:r w:rsidR="00687DF4">
        <w:t xml:space="preserve">- </w:t>
      </w:r>
      <w:r w:rsidRPr="00D068EB">
        <w:t xml:space="preserve">166,999 </w:t>
      </w:r>
      <w:r w:rsidR="00687DF4">
        <w:t xml:space="preserve"> = </w:t>
      </w:r>
      <w:r w:rsidRPr="00D068EB">
        <w:rPr>
          <w:b/>
        </w:rPr>
        <w:t>21</w:t>
      </w:r>
      <w:r>
        <w:rPr>
          <w:b/>
        </w:rPr>
        <w:t>,</w:t>
      </w:r>
      <w:r w:rsidRPr="00D068EB">
        <w:rPr>
          <w:b/>
        </w:rPr>
        <w:t>935</w:t>
      </w:r>
    </w:p>
    <w:p w:rsidR="00687DF4" w:rsidRDefault="00687DF4" w:rsidP="00687DF4"/>
    <w:p w:rsidR="00687DF4" w:rsidRDefault="00687DF4" w:rsidP="004F3162">
      <w:pPr>
        <w:pStyle w:val="Prrafodelista"/>
        <w:numPr>
          <w:ilvl w:val="0"/>
          <w:numId w:val="5"/>
        </w:numPr>
        <w:jc w:val="both"/>
      </w:pPr>
      <w:r w:rsidRPr="00782911">
        <w:t>Porcentaje del valor de mercado correspondiente a las opciones de crecimiento</w:t>
      </w:r>
    </w:p>
    <w:p w:rsidR="00687DF4" w:rsidRDefault="00687DF4" w:rsidP="00687DF4">
      <w:pPr>
        <w:jc w:val="both"/>
      </w:pPr>
      <w:r>
        <w:t xml:space="preserve">El índice que nos permite determinar el porcentaje del valor de mercado correspondiente a las opciones de crecimiento para la empresa </w:t>
      </w:r>
      <w:r w:rsidRPr="00E75E0C">
        <w:t xml:space="preserve">McDonald's </w:t>
      </w:r>
      <w:proofErr w:type="spellStart"/>
      <w:r w:rsidRPr="00E75E0C">
        <w:t>Corporation</w:t>
      </w:r>
      <w:proofErr w:type="spellEnd"/>
      <w:r>
        <w:t xml:space="preserve"> resulta de la siguiente manera.</w:t>
      </w:r>
    </w:p>
    <w:p w:rsidR="00687DF4" w:rsidRPr="00CD73A0" w:rsidRDefault="00471F62" w:rsidP="00687DF4">
      <w:pPr>
        <w:rPr>
          <w:rFonts w:eastAsiaTheme="minorEastAsia"/>
        </w:rPr>
      </w:pPr>
      <m:oMathPara>
        <m:oMath>
          <m:f>
            <m:fPr>
              <m:ctrlPr>
                <w:rPr>
                  <w:rFonts w:ascii="Cambria Math" w:hAnsi="Cambria Math"/>
                  <w:i/>
                </w:rPr>
              </m:ctrlPr>
            </m:fPr>
            <m:num>
              <m:r>
                <m:rPr>
                  <m:sty m:val="p"/>
                </m:rPr>
                <w:rPr>
                  <w:rFonts w:ascii="Cambria Math" w:hAnsi="Cambria Math"/>
                </w:rPr>
                <m:t>88,748</m:t>
              </m:r>
            </m:num>
            <m:den>
              <m:r>
                <m:rPr>
                  <m:sty m:val="p"/>
                </m:rPr>
                <w:rPr>
                  <w:rFonts w:ascii="Cambria Math" w:hAnsi="Cambria Math"/>
                </w:rPr>
                <m:t xml:space="preserve">188,934 </m:t>
              </m:r>
            </m:den>
          </m:f>
          <m:r>
            <w:rPr>
              <w:rFonts w:ascii="Cambria Math" w:hAnsi="Cambria Math"/>
            </w:rPr>
            <m:t>= 46.97%</m:t>
          </m:r>
        </m:oMath>
      </m:oMathPara>
    </w:p>
    <w:p w:rsidR="00687DF4" w:rsidRPr="00CD73A0" w:rsidRDefault="00471F62" w:rsidP="00687DF4">
      <m:oMathPara>
        <m:oMath>
          <m:f>
            <m:fPr>
              <m:ctrlPr>
                <w:rPr>
                  <w:rFonts w:ascii="Cambria Math" w:hAnsi="Cambria Math"/>
                  <w:i/>
                </w:rPr>
              </m:ctrlPr>
            </m:fPr>
            <m:num>
              <m:r>
                <m:rPr>
                  <m:sty m:val="p"/>
                </m:rPr>
                <w:rPr>
                  <w:rFonts w:ascii="Cambria Math" w:hAnsi="Cambria Math"/>
                </w:rPr>
                <m:t>21,935</m:t>
              </m:r>
            </m:num>
            <m:den>
              <m:r>
                <m:rPr>
                  <m:sty m:val="p"/>
                </m:rPr>
                <w:rPr>
                  <w:rFonts w:ascii="Cambria Math" w:hAnsi="Cambria Math"/>
                </w:rPr>
                <m:t xml:space="preserve">188,934 </m:t>
              </m:r>
            </m:den>
          </m:f>
          <m:r>
            <w:rPr>
              <w:rFonts w:ascii="Cambria Math" w:hAnsi="Cambria Math"/>
            </w:rPr>
            <m:t>= 11.61%</m:t>
          </m:r>
        </m:oMath>
      </m:oMathPara>
    </w:p>
    <w:p w:rsidR="00D068EB" w:rsidRDefault="00D068EB" w:rsidP="00687DF4"/>
    <w:p w:rsidR="00687DF4" w:rsidRDefault="00687DF4" w:rsidP="00687DF4">
      <w:r w:rsidRPr="00CD73A0">
        <w:rPr>
          <w:highlight w:val="yellow"/>
        </w:rPr>
        <w:t>FALTA CONCLUSIONES</w:t>
      </w:r>
      <w:r>
        <w:t xml:space="preserve"> </w:t>
      </w:r>
    </w:p>
    <w:p w:rsidR="00B353B0" w:rsidRDefault="0071298E" w:rsidP="00B353B0">
      <w:pPr>
        <w:jc w:val="both"/>
        <w:rPr>
          <w:b/>
          <w:color w:val="002060"/>
        </w:rPr>
      </w:pPr>
      <w:r>
        <w:rPr>
          <w:b/>
          <w:color w:val="002060"/>
        </w:rPr>
        <w:t>Caso 3</w:t>
      </w:r>
      <w:r w:rsidR="00B353B0" w:rsidRPr="0088013F">
        <w:rPr>
          <w:b/>
          <w:color w:val="002060"/>
        </w:rPr>
        <w:t xml:space="preserve">: Opciones de crecimiento de </w:t>
      </w:r>
      <w:r w:rsidR="00B353B0" w:rsidRPr="00B353B0">
        <w:rPr>
          <w:b/>
          <w:color w:val="002060"/>
        </w:rPr>
        <w:t xml:space="preserve">Johnson &amp; Johnson </w:t>
      </w:r>
    </w:p>
    <w:p w:rsidR="00B353B0" w:rsidRDefault="00B353B0" w:rsidP="00B353B0">
      <w:pPr>
        <w:jc w:val="both"/>
      </w:pPr>
      <w:r w:rsidRPr="0088013F">
        <w:t xml:space="preserve">Se pide analizar las opciones de crecimiento para los proyectos de la empresa McDonald's </w:t>
      </w:r>
      <w:proofErr w:type="spellStart"/>
      <w:r w:rsidRPr="0088013F">
        <w:t>Corporation</w:t>
      </w:r>
      <w:proofErr w:type="spellEnd"/>
      <w:r w:rsidRPr="0088013F">
        <w:t xml:space="preserve"> que actualmente cotiza en </w:t>
      </w:r>
      <w:proofErr w:type="spellStart"/>
      <w:r w:rsidRPr="0088013F">
        <w:t>DowJones</w:t>
      </w:r>
      <w:proofErr w:type="spellEnd"/>
      <w:r w:rsidRPr="0088013F">
        <w:t xml:space="preserve"> Industrial </w:t>
      </w:r>
      <w:proofErr w:type="spellStart"/>
      <w:r w:rsidRPr="0088013F">
        <w:t>Average</w:t>
      </w:r>
      <w:proofErr w:type="spellEnd"/>
      <w:r w:rsidRPr="0088013F">
        <w:t xml:space="preserve"> </w:t>
      </w:r>
      <w:r w:rsidRPr="0088013F">
        <w:rPr>
          <w:rStyle w:val="Refdenotaalpie"/>
        </w:rPr>
        <w:footnoteReference w:id="3"/>
      </w:r>
      <w:r>
        <w:t xml:space="preserve"> , utilizando la teoría de opciones de compra sobre activos financieros. Para desarrollar este ejercicio se tiene como información tomada de </w:t>
      </w:r>
      <w:hyperlink r:id="rId12" w:history="1">
        <w:r w:rsidRPr="008D5CB8">
          <w:rPr>
            <w:rStyle w:val="Hipervnculo"/>
          </w:rPr>
          <w:t>https://finance.yahoo.com</w:t>
        </w:r>
      </w:hyperlink>
      <w:r>
        <w:t>, resumen del balance general al 2017 y datos bursátiles para el cálculo del WACC contable y el WACC de mercado utilizando la teoría del CAPM. Se pide calcular: a) valor capitalizado de los beneficios, b) valor estimado de la opción de crecimiento y c) porcentaje del valor de mercado correspondiente a las opciones de crecimiento.</w:t>
      </w:r>
    </w:p>
    <w:p w:rsidR="0088013F" w:rsidRPr="00F46C50" w:rsidRDefault="0088013F" w:rsidP="00B353B0">
      <w:r w:rsidRPr="00E75E0C">
        <w:rPr>
          <w:b/>
          <w:noProof/>
          <w:lang w:eastAsia="es-PE"/>
        </w:rPr>
        <mc:AlternateContent>
          <mc:Choice Requires="wps">
            <w:drawing>
              <wp:anchor distT="45720" distB="45720" distL="114300" distR="114300" simplePos="0" relativeHeight="251663360" behindDoc="0" locked="0" layoutInCell="1" allowOverlap="1" wp14:anchorId="084498B5" wp14:editId="4AA305AF">
                <wp:simplePos x="0" y="0"/>
                <wp:positionH relativeFrom="column">
                  <wp:posOffset>1647825</wp:posOffset>
                </wp:positionH>
                <wp:positionV relativeFrom="paragraph">
                  <wp:posOffset>312420</wp:posOffset>
                </wp:positionV>
                <wp:extent cx="306705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rsidR="00687DF4" w:rsidRPr="00E75E0C" w:rsidRDefault="00687DF4" w:rsidP="0088013F">
                            <w:pPr>
                              <w:rPr>
                                <w:lang w:val="es-ES"/>
                              </w:rPr>
                            </w:pPr>
                            <w:r w:rsidRPr="00E75E0C">
                              <w:rPr>
                                <w:b/>
                                <w:lang w:val="es-ES"/>
                              </w:rPr>
                              <w:t xml:space="preserve">CASO </w:t>
                            </w:r>
                            <w:r>
                              <w:rPr>
                                <w:b/>
                                <w:lang w:val="es-ES"/>
                              </w:rPr>
                              <w:t>4</w:t>
                            </w:r>
                            <w:r w:rsidRPr="00E75E0C">
                              <w:rPr>
                                <w:b/>
                                <w:lang w:val="es-ES"/>
                              </w:rPr>
                              <w:t xml:space="preserve">: </w:t>
                            </w:r>
                            <w:r w:rsidRPr="00F46C50">
                              <w:rPr>
                                <w:lang w:val="es-ES"/>
                              </w:rPr>
                              <w:t>Johnson &amp; Johnson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498B5" id="_x0000_s1028" type="#_x0000_t202" style="position:absolute;margin-left:129.75pt;margin-top:24.6pt;width:24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" stroked="f">
                <v:textbox style="mso-fit-shape-to-text:t">
                  <w:txbxContent>
                    <w:p w:rsidR="00687DF4" w:rsidRPr="00E75E0C" w:rsidRDefault="00687DF4" w:rsidP="0088013F">
                      <w:pPr>
                        <w:rPr>
                          <w:lang w:val="es-ES"/>
                        </w:rPr>
                      </w:pPr>
                      <w:r w:rsidRPr="00E75E0C">
                        <w:rPr>
                          <w:b/>
                          <w:lang w:val="es-ES"/>
                        </w:rPr>
                        <w:t xml:space="preserve">CASO </w:t>
                      </w:r>
                      <w:r>
                        <w:rPr>
                          <w:b/>
                          <w:lang w:val="es-ES"/>
                        </w:rPr>
                        <w:t>4</w:t>
                      </w:r>
                      <w:r w:rsidRPr="00E75E0C">
                        <w:rPr>
                          <w:b/>
                          <w:lang w:val="es-ES"/>
                        </w:rPr>
                        <w:t xml:space="preserve">: </w:t>
                      </w:r>
                      <w:r w:rsidRPr="00F46C50">
                        <w:rPr>
                          <w:lang w:val="es-ES"/>
                        </w:rPr>
                        <w:t>Johnson &amp; Johnson</w:t>
                      </w:r>
                    </w:p>
                  </w:txbxContent>
                </v:textbox>
                <w10:wrap type="square"/>
              </v:shape>
            </w:pict>
          </mc:Fallback>
        </mc:AlternateContent>
      </w:r>
      <w:r>
        <w:rPr>
          <w:noProof/>
          <w:lang w:eastAsia="es-PE"/>
        </w:rPr>
        <w:drawing>
          <wp:anchor distT="0" distB="0" distL="114300" distR="114300" simplePos="0" relativeHeight="251664384" behindDoc="0" locked="0" layoutInCell="1" allowOverlap="1" wp14:anchorId="6B1DF1AC" wp14:editId="76CD5149">
            <wp:simplePos x="0" y="0"/>
            <wp:positionH relativeFrom="margin">
              <wp:align>left</wp:align>
            </wp:positionH>
            <wp:positionV relativeFrom="paragraph">
              <wp:posOffset>297180</wp:posOffset>
            </wp:positionV>
            <wp:extent cx="1587796" cy="333375"/>
            <wp:effectExtent l="0" t="0" r="0" b="0"/>
            <wp:wrapSquare wrapText="bothSides"/>
            <wp:docPr id="7" name="Imagen 7" descr="Resultado de imagen para johnson and joh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johnson and johns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796" cy="333375"/>
                    </a:xfrm>
                    <a:prstGeom prst="rect">
                      <a:avLst/>
                    </a:prstGeom>
                    <a:noFill/>
                    <a:ln>
                      <a:noFill/>
                    </a:ln>
                  </pic:spPr>
                </pic:pic>
              </a:graphicData>
            </a:graphic>
          </wp:anchor>
        </w:drawing>
      </w:r>
    </w:p>
    <w:tbl>
      <w:tblPr>
        <w:tblW w:w="8491" w:type="dxa"/>
        <w:tblInd w:w="-5" w:type="dxa"/>
        <w:tblCellMar>
          <w:left w:w="70" w:type="dxa"/>
          <w:right w:w="70" w:type="dxa"/>
        </w:tblCellMar>
        <w:tblLook w:val="04A0" w:firstRow="1" w:lastRow="0" w:firstColumn="1" w:lastColumn="0" w:noHBand="0" w:noVBand="1"/>
      </w:tblPr>
      <w:tblGrid>
        <w:gridCol w:w="3544"/>
        <w:gridCol w:w="810"/>
        <w:gridCol w:w="3159"/>
        <w:gridCol w:w="978"/>
      </w:tblGrid>
      <w:tr w:rsidR="0088013F" w:rsidRPr="00F46C50" w:rsidTr="00687DF4">
        <w:trPr>
          <w:trHeight w:val="300"/>
        </w:trPr>
        <w:tc>
          <w:tcPr>
            <w:tcW w:w="8491" w:type="dxa"/>
            <w:gridSpan w:val="4"/>
            <w:tcBorders>
              <w:top w:val="single" w:sz="4" w:space="0" w:color="000000"/>
              <w:left w:val="single" w:sz="4" w:space="0" w:color="000000"/>
              <w:bottom w:val="single" w:sz="4" w:space="0" w:color="000000"/>
              <w:right w:val="single" w:sz="4" w:space="0" w:color="000000"/>
            </w:tcBorders>
            <w:shd w:val="clear" w:color="7030A0" w:fill="7030A0"/>
            <w:noWrap/>
            <w:vAlign w:val="center"/>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 xml:space="preserve">Balance General </w:t>
            </w:r>
          </w:p>
        </w:tc>
      </w:tr>
      <w:tr w:rsidR="0088013F" w:rsidRPr="00F46C50" w:rsidTr="00687DF4">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Activos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2017</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Pasivos</w:t>
            </w:r>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2017</w:t>
            </w:r>
          </w:p>
        </w:tc>
      </w:tr>
      <w:tr w:rsidR="0088013F" w:rsidRPr="00F46C50" w:rsidTr="00687DF4">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activos corrientes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43088</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Total de pasivos corrientes</w:t>
            </w:r>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30537,0</w:t>
            </w:r>
          </w:p>
        </w:tc>
      </w:tr>
      <w:tr w:rsidR="0088013F" w:rsidRPr="00F46C50" w:rsidTr="00687DF4">
        <w:trPr>
          <w:trHeight w:val="66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 xml:space="preserve">Total de activos no corrientes </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114215</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Total de pasivos no corrientes</w:t>
            </w:r>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66606</w:t>
            </w:r>
          </w:p>
        </w:tc>
      </w:tr>
      <w:tr w:rsidR="0088013F" w:rsidRPr="00F46C50" w:rsidTr="00687DF4">
        <w:trPr>
          <w:trHeight w:val="36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la deuda</w:t>
            </w:r>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97143,0</w:t>
            </w:r>
          </w:p>
        </w:tc>
      </w:tr>
      <w:tr w:rsidR="0088013F" w:rsidRPr="00F46C50" w:rsidTr="00687DF4">
        <w:trPr>
          <w:trHeight w:val="36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proofErr w:type="spellStart"/>
            <w:r w:rsidRPr="00F46C50">
              <w:rPr>
                <w:rFonts w:ascii="Calibri" w:eastAsia="Times New Roman" w:hAnsi="Calibri" w:cs="Times New Roman"/>
                <w:b/>
                <w:bCs/>
                <w:color w:val="000000"/>
                <w:lang w:eastAsia="es-PE"/>
              </w:rPr>
              <w:t>Equity</w:t>
            </w:r>
            <w:proofErr w:type="spellEnd"/>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60160</w:t>
            </w:r>
          </w:p>
        </w:tc>
      </w:tr>
      <w:tr w:rsidR="0088013F" w:rsidRPr="00F46C50" w:rsidTr="00687DF4">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activos</w:t>
            </w:r>
          </w:p>
        </w:tc>
        <w:tc>
          <w:tcPr>
            <w:tcW w:w="810" w:type="dxa"/>
            <w:tcBorders>
              <w:top w:val="nil"/>
              <w:left w:val="nil"/>
              <w:bottom w:val="single" w:sz="4" w:space="0" w:color="000000"/>
              <w:right w:val="single" w:sz="4" w:space="0" w:color="000000"/>
            </w:tcBorders>
            <w:shd w:val="clear" w:color="auto" w:fill="auto"/>
            <w:noWrap/>
            <w:vAlign w:val="center"/>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157303</w:t>
            </w:r>
          </w:p>
        </w:tc>
        <w:tc>
          <w:tcPr>
            <w:tcW w:w="3159"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pasivos</w:t>
            </w:r>
          </w:p>
        </w:tc>
        <w:tc>
          <w:tcPr>
            <w:tcW w:w="978"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157303,0</w:t>
            </w:r>
          </w:p>
        </w:tc>
      </w:tr>
    </w:tbl>
    <w:p w:rsidR="0088013F" w:rsidRDefault="0088013F" w:rsidP="0088013F">
      <w:pPr>
        <w:tabs>
          <w:tab w:val="left" w:pos="2460"/>
        </w:tabs>
      </w:pPr>
    </w:p>
    <w:p w:rsidR="00B353B0" w:rsidRDefault="00B353B0" w:rsidP="00B353B0">
      <w:pPr>
        <w:jc w:val="both"/>
      </w:pPr>
      <w:r>
        <w:t>SOLUCIÓN</w:t>
      </w:r>
    </w:p>
    <w:p w:rsidR="00B353B0" w:rsidRPr="0061502A" w:rsidRDefault="00B353B0" w:rsidP="00B353B0">
      <w:pPr>
        <w:pStyle w:val="Prrafodelista"/>
        <w:numPr>
          <w:ilvl w:val="0"/>
          <w:numId w:val="7"/>
        </w:numPr>
        <w:jc w:val="both"/>
        <w:rPr>
          <w:b/>
        </w:rPr>
      </w:pPr>
      <w:r w:rsidRPr="0061502A">
        <w:rPr>
          <w:b/>
        </w:rPr>
        <w:t xml:space="preserve">Valor capitalizado de los beneficios </w:t>
      </w:r>
    </w:p>
    <w:p w:rsidR="00B353B0" w:rsidRDefault="00B353B0" w:rsidP="00B353B0">
      <w:pPr>
        <w:jc w:val="both"/>
      </w:pPr>
      <w:r>
        <w:lastRenderedPageBreak/>
        <w:t>Primero analizamos el costo ponderado de capital (WACC) bajo el enfoque del CAPM y cuyos resultados se pueden apreciar en la siguiente Tabla, además se tiene como información el promedio de los últimos cuatro años de las ganancias netas de esta empresa que cotiza en la bolsa de EE.UU.</w:t>
      </w:r>
    </w:p>
    <w:p w:rsidR="0088013F" w:rsidRDefault="0088013F" w:rsidP="0088013F">
      <w:r w:rsidRPr="00E75E0C">
        <w:rPr>
          <w:b/>
          <w:i/>
        </w:rPr>
        <w:t>Índice de capitalización bursátil:</w:t>
      </w:r>
      <w:r>
        <w:t xml:space="preserve"> $ 338 085 millones.</w:t>
      </w:r>
    </w:p>
    <w:tbl>
      <w:tblPr>
        <w:tblW w:w="5900" w:type="dxa"/>
        <w:tblInd w:w="-5" w:type="dxa"/>
        <w:tblCellMar>
          <w:left w:w="70" w:type="dxa"/>
          <w:right w:w="70" w:type="dxa"/>
        </w:tblCellMar>
        <w:tblLook w:val="04A0" w:firstRow="1" w:lastRow="0" w:firstColumn="1" w:lastColumn="0" w:noHBand="0" w:noVBand="1"/>
      </w:tblPr>
      <w:tblGrid>
        <w:gridCol w:w="4620"/>
        <w:gridCol w:w="1280"/>
      </w:tblGrid>
      <w:tr w:rsidR="0088013F" w:rsidRPr="00F46C50" w:rsidTr="00687DF4">
        <w:trPr>
          <w:trHeight w:val="300"/>
        </w:trPr>
        <w:tc>
          <w:tcPr>
            <w:tcW w:w="4620" w:type="dxa"/>
            <w:tcBorders>
              <w:top w:val="single" w:sz="4" w:space="0" w:color="000000"/>
              <w:left w:val="single" w:sz="4" w:space="0" w:color="000000"/>
              <w:bottom w:val="single" w:sz="4" w:space="0" w:color="000000"/>
              <w:right w:val="single" w:sz="4" w:space="0" w:color="000000"/>
            </w:tcBorders>
            <w:shd w:val="clear" w:color="7030A0" w:fill="7030A0"/>
            <w:noWrap/>
            <w:vAlign w:val="bottom"/>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Microsoft</w:t>
            </w:r>
          </w:p>
        </w:tc>
        <w:tc>
          <w:tcPr>
            <w:tcW w:w="1280" w:type="dxa"/>
            <w:tcBorders>
              <w:top w:val="single" w:sz="4" w:space="0" w:color="000000"/>
              <w:left w:val="nil"/>
              <w:bottom w:val="single" w:sz="4" w:space="0" w:color="000000"/>
              <w:right w:val="single" w:sz="4" w:space="0" w:color="000000"/>
            </w:tcBorders>
            <w:shd w:val="clear" w:color="7030A0" w:fill="7030A0"/>
            <w:noWrap/>
            <w:vAlign w:val="bottom"/>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2017</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Beta(β)</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0,54</w:t>
            </w:r>
          </w:p>
        </w:tc>
      </w:tr>
      <w:tr w:rsidR="0088013F" w:rsidRPr="00F46C50" w:rsidTr="00687DF4">
        <w:trPr>
          <w:trHeight w:val="660"/>
        </w:trPr>
        <w:tc>
          <w:tcPr>
            <w:tcW w:w="4620" w:type="dxa"/>
            <w:tcBorders>
              <w:top w:val="nil"/>
              <w:left w:val="single" w:sz="4" w:space="0" w:color="000000"/>
              <w:bottom w:val="single" w:sz="4" w:space="0" w:color="000000"/>
              <w:right w:val="single" w:sz="4" w:space="0" w:color="000000"/>
            </w:tcBorders>
            <w:shd w:val="clear" w:color="FFFFFF" w:fill="FFFFFF"/>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Rendimiento de  bono norteamericano por 10 años(K</w:t>
            </w:r>
            <w:r w:rsidRPr="00F46C50">
              <w:rPr>
                <w:rFonts w:ascii="Calibri" w:eastAsia="Times New Roman" w:hAnsi="Calibri" w:cs="Times New Roman"/>
                <w:color w:val="000000"/>
                <w:vertAlign w:val="subscript"/>
                <w:lang w:eastAsia="es-PE"/>
              </w:rPr>
              <w:t>R</w:t>
            </w:r>
            <w:r w:rsidRPr="00F46C50">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2,957%</w:t>
            </w:r>
          </w:p>
        </w:tc>
      </w:tr>
      <w:tr w:rsidR="0088013F" w:rsidRPr="00F46C50"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Prima de riesgo (K</w:t>
            </w:r>
            <w:r w:rsidRPr="00F46C50">
              <w:rPr>
                <w:rFonts w:ascii="Calibri" w:eastAsia="Times New Roman" w:hAnsi="Calibri" w:cs="Times New Roman"/>
                <w:color w:val="000000"/>
                <w:vertAlign w:val="subscript"/>
                <w:lang w:eastAsia="es-PE"/>
              </w:rPr>
              <w:t>M</w:t>
            </w:r>
            <w:r w:rsidRPr="00F46C50">
              <w:rPr>
                <w:rFonts w:ascii="Calibri" w:eastAsia="Times New Roman" w:hAnsi="Calibri" w:cs="Times New Roman"/>
                <w:color w:val="000000"/>
                <w:lang w:eastAsia="es-PE"/>
              </w:rPr>
              <w:t>-K</w:t>
            </w:r>
            <w:r w:rsidRPr="00F46C50">
              <w:rPr>
                <w:rFonts w:ascii="Calibri" w:eastAsia="Times New Roman" w:hAnsi="Calibri" w:cs="Times New Roman"/>
                <w:color w:val="000000"/>
                <w:vertAlign w:val="subscript"/>
                <w:lang w:eastAsia="es-PE"/>
              </w:rPr>
              <w:t>R</w:t>
            </w:r>
            <w:r w:rsidRPr="00F46C50">
              <w:rPr>
                <w:rFonts w:ascii="Calibri" w:eastAsia="Times New Roman" w:hAnsi="Calibri" w:cs="Times New Roman"/>
                <w:color w:val="000000"/>
                <w:lang w:eastAsia="es-PE"/>
              </w:rPr>
              <w:t>)</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7,6%</w:t>
            </w:r>
          </w:p>
        </w:tc>
      </w:tr>
      <w:tr w:rsidR="0088013F" w:rsidRPr="00F46C50" w:rsidTr="00687DF4">
        <w:trPr>
          <w:trHeight w:val="36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Costo de los fondos propios</w:t>
            </w:r>
            <w:r w:rsidRPr="00F46C50">
              <w:rPr>
                <w:rFonts w:ascii="Calibri" w:eastAsia="Times New Roman" w:hAnsi="Calibri" w:cs="Times New Roman"/>
                <w:b/>
                <w:bCs/>
                <w:color w:val="000000"/>
                <w:lang w:eastAsia="es-PE"/>
              </w:rPr>
              <w:t xml:space="preserve"> [Ke= K</w:t>
            </w:r>
            <w:r w:rsidRPr="00F46C50">
              <w:rPr>
                <w:rFonts w:ascii="Calibri" w:eastAsia="Times New Roman" w:hAnsi="Calibri" w:cs="Times New Roman"/>
                <w:b/>
                <w:bCs/>
                <w:color w:val="000000"/>
                <w:vertAlign w:val="subscript"/>
                <w:lang w:eastAsia="es-PE"/>
              </w:rPr>
              <w:t>R</w:t>
            </w:r>
            <w:r w:rsidRPr="00F46C50">
              <w:rPr>
                <w:rFonts w:ascii="Calibri" w:eastAsia="Times New Roman" w:hAnsi="Calibri" w:cs="Times New Roman"/>
                <w:b/>
                <w:bCs/>
                <w:color w:val="000000"/>
                <w:lang w:eastAsia="es-PE"/>
              </w:rPr>
              <w:t>+β(K</w:t>
            </w:r>
            <w:r w:rsidRPr="00F46C50">
              <w:rPr>
                <w:rFonts w:ascii="Calibri" w:eastAsia="Times New Roman" w:hAnsi="Calibri" w:cs="Times New Roman"/>
                <w:b/>
                <w:bCs/>
                <w:color w:val="000000"/>
                <w:vertAlign w:val="subscript"/>
                <w:lang w:eastAsia="es-PE"/>
              </w:rPr>
              <w:t>M</w:t>
            </w:r>
            <w:r w:rsidRPr="00F46C50">
              <w:rPr>
                <w:rFonts w:ascii="Calibri" w:eastAsia="Times New Roman" w:hAnsi="Calibri" w:cs="Times New Roman"/>
                <w:b/>
                <w:bCs/>
                <w:color w:val="000000"/>
                <w:lang w:eastAsia="es-PE"/>
              </w:rPr>
              <w:t>-K</w:t>
            </w:r>
            <w:r w:rsidRPr="00F46C50">
              <w:rPr>
                <w:rFonts w:ascii="Calibri" w:eastAsia="Times New Roman" w:hAnsi="Calibri" w:cs="Times New Roman"/>
                <w:b/>
                <w:bCs/>
                <w:color w:val="000000"/>
                <w:vertAlign w:val="subscript"/>
                <w:lang w:eastAsia="es-PE"/>
              </w:rPr>
              <w:t>R</w:t>
            </w:r>
            <w:r w:rsidRPr="00F46C50">
              <w:rPr>
                <w:rFonts w:ascii="Calibri" w:eastAsia="Times New Roman" w:hAnsi="Calibri" w:cs="Times New Roman"/>
                <w:b/>
                <w:bCs/>
                <w:color w:val="000000"/>
                <w:lang w:eastAsia="es-PE"/>
              </w:rPr>
              <w:t>)]</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7,061%</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Capital(C)</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60160</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Deuda(D)</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97143</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Tasa impositiva(T)</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Tasa de interés(Kd)</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2,00%</w:t>
            </w:r>
          </w:p>
        </w:tc>
      </w:tr>
      <w:tr w:rsidR="0088013F" w:rsidRPr="00F46C50" w:rsidTr="00687DF4">
        <w:trPr>
          <w:trHeight w:val="212"/>
        </w:trPr>
        <w:tc>
          <w:tcPr>
            <w:tcW w:w="462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WACC (valor contable)</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3,69%</w:t>
            </w:r>
          </w:p>
        </w:tc>
      </w:tr>
      <w:tr w:rsidR="0088013F" w:rsidRPr="00F46C50" w:rsidTr="00687DF4">
        <w:trPr>
          <w:trHeight w:val="300"/>
        </w:trPr>
        <w:tc>
          <w:tcPr>
            <w:tcW w:w="462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WACC (valor de mercado)</w:t>
            </w:r>
          </w:p>
        </w:tc>
        <w:tc>
          <w:tcPr>
            <w:tcW w:w="128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5,84%</w:t>
            </w:r>
          </w:p>
        </w:tc>
      </w:tr>
    </w:tbl>
    <w:p w:rsidR="0088013F" w:rsidRDefault="0088013F" w:rsidP="0088013F">
      <w:pPr>
        <w:tabs>
          <w:tab w:val="left" w:pos="2460"/>
        </w:tabs>
      </w:pPr>
    </w:p>
    <w:tbl>
      <w:tblPr>
        <w:tblW w:w="3460" w:type="dxa"/>
        <w:tblCellMar>
          <w:left w:w="70" w:type="dxa"/>
          <w:right w:w="70" w:type="dxa"/>
        </w:tblCellMar>
        <w:tblLook w:val="04A0" w:firstRow="1" w:lastRow="0" w:firstColumn="1" w:lastColumn="0" w:noHBand="0" w:noVBand="1"/>
      </w:tblPr>
      <w:tblGrid>
        <w:gridCol w:w="1680"/>
        <w:gridCol w:w="1780"/>
      </w:tblGrid>
      <w:tr w:rsidR="0088013F" w:rsidRPr="00485236" w:rsidTr="00687DF4">
        <w:trPr>
          <w:trHeight w:val="300"/>
        </w:trPr>
        <w:tc>
          <w:tcPr>
            <w:tcW w:w="3460" w:type="dxa"/>
            <w:gridSpan w:val="2"/>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Promedio de los 4 últimos años</w:t>
            </w:r>
          </w:p>
        </w:tc>
      </w:tr>
      <w:tr w:rsidR="0088013F" w:rsidRPr="00485236" w:rsidTr="00687DF4">
        <w:trPr>
          <w:trHeight w:val="930"/>
        </w:trPr>
        <w:tc>
          <w:tcPr>
            <w:tcW w:w="1680" w:type="dxa"/>
            <w:tcBorders>
              <w:top w:val="nil"/>
              <w:left w:val="single" w:sz="4" w:space="0" w:color="auto"/>
              <w:bottom w:val="single" w:sz="4" w:space="0" w:color="auto"/>
              <w:right w:val="single" w:sz="4" w:space="0" w:color="auto"/>
            </w:tcBorders>
            <w:shd w:val="clear" w:color="000000" w:fill="7030A0"/>
            <w:vAlign w:val="center"/>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Ganancias Netas</w:t>
            </w:r>
          </w:p>
        </w:tc>
        <w:tc>
          <w:tcPr>
            <w:tcW w:w="1780" w:type="dxa"/>
            <w:tcBorders>
              <w:top w:val="nil"/>
              <w:left w:val="nil"/>
              <w:bottom w:val="single" w:sz="4" w:space="0" w:color="auto"/>
              <w:right w:val="single" w:sz="4" w:space="0" w:color="auto"/>
            </w:tcBorders>
            <w:shd w:val="clear" w:color="000000" w:fill="7030A0"/>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Flujo de caja total de actividades en curso</w:t>
            </w:r>
          </w:p>
        </w:tc>
      </w:tr>
      <w:tr w:rsidR="0088013F" w:rsidRPr="00485236" w:rsidTr="00687DF4">
        <w:trPr>
          <w:trHeight w:val="37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12393,0</w:t>
            </w:r>
          </w:p>
        </w:tc>
        <w:tc>
          <w:tcPr>
            <w:tcW w:w="1780" w:type="dxa"/>
            <w:tcBorders>
              <w:top w:val="nil"/>
              <w:left w:val="nil"/>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19525,5</w:t>
            </w:r>
          </w:p>
        </w:tc>
      </w:tr>
    </w:tbl>
    <w:p w:rsidR="0088013F" w:rsidRDefault="0088013F" w:rsidP="0088013F">
      <w:pPr>
        <w:tabs>
          <w:tab w:val="left" w:pos="2460"/>
        </w:tabs>
      </w:pPr>
    </w:p>
    <w:p w:rsidR="004F3162" w:rsidRDefault="004F3162" w:rsidP="004F3162">
      <w:pPr>
        <w:jc w:val="both"/>
      </w:pPr>
      <w:r>
        <w:t>Luego procedemos a calcular el valor capitalizado de los beneficios utilizando el WACC bursátil con la siguiente ecuación financiera.</w:t>
      </w:r>
    </w:p>
    <w:p w:rsidR="004F3162" w:rsidRDefault="00471F62" w:rsidP="004F3162">
      <w:pPr>
        <w:ind w:firstLine="708"/>
        <w:rPr>
          <w:rFonts w:eastAsiaTheme="minorEastAsia"/>
        </w:rPr>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$ 12,393.0</m:t>
            </m:r>
          </m:num>
          <m:den>
            <m:r>
              <w:rPr>
                <w:rFonts w:ascii="Cambria Math" w:hAnsi="Cambria Math"/>
              </w:rPr>
              <m:t>0.0584</m:t>
            </m:r>
          </m:den>
        </m:f>
        <m:r>
          <w:rPr>
            <w:rFonts w:ascii="Cambria Math" w:hAnsi="Cambria Math"/>
          </w:rPr>
          <m:t>=$ 212,132</m:t>
        </m:r>
      </m:oMath>
      <w:r w:rsidR="004F3162">
        <w:rPr>
          <w:rFonts w:eastAsiaTheme="minorEastAsia"/>
        </w:rPr>
        <w:t xml:space="preserve">; Valor capitalizado con ganancias netas </w:t>
      </w:r>
    </w:p>
    <w:p w:rsidR="004F3162" w:rsidRDefault="00471F62" w:rsidP="004F3162">
      <w:pPr>
        <w:ind w:firstLine="708"/>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$19,525.5</m:t>
            </m:r>
          </m:num>
          <m:den>
            <m:r>
              <w:rPr>
                <w:rFonts w:ascii="Cambria Math" w:hAnsi="Cambria Math"/>
              </w:rPr>
              <m:t>0.0584</m:t>
            </m:r>
          </m:den>
        </m:f>
        <m:r>
          <w:rPr>
            <w:rFonts w:ascii="Cambria Math" w:hAnsi="Cambria Math"/>
          </w:rPr>
          <m:t xml:space="preserve">=$ 334,220 </m:t>
        </m:r>
      </m:oMath>
      <w:r w:rsidR="004F3162">
        <w:rPr>
          <w:rFonts w:eastAsiaTheme="minorEastAsia"/>
        </w:rPr>
        <w:t xml:space="preserve">; Valor capitalizado con flujo de actividades </w:t>
      </w:r>
    </w:p>
    <w:p w:rsidR="004F3162" w:rsidRDefault="004F3162" w:rsidP="004F3162">
      <w:pPr>
        <w:ind w:firstLine="708"/>
      </w:pPr>
    </w:p>
    <w:p w:rsidR="004F3162" w:rsidRDefault="004F3162" w:rsidP="004F3162">
      <w:pPr>
        <w:pStyle w:val="Prrafodelista"/>
        <w:numPr>
          <w:ilvl w:val="0"/>
          <w:numId w:val="7"/>
        </w:numPr>
        <w:jc w:val="both"/>
      </w:pPr>
      <w:r>
        <w:t>V</w:t>
      </w:r>
      <w:r w:rsidRPr="00EF2AC5">
        <w:t>alor estimado de la opción de crecimiento</w:t>
      </w:r>
    </w:p>
    <w:p w:rsidR="004F3162" w:rsidRDefault="004F3162" w:rsidP="004F3162">
      <w:pPr>
        <w:jc w:val="both"/>
      </w:pPr>
      <w:r>
        <w:t>El valor estimado de opciones de crecimiento lo obtenemos con la diferencia entre el valor de mercado (el índice de capitalización bursátil) de los recursos propios y los valores de las ganancias netas y flujo de actividades.</w:t>
      </w:r>
    </w:p>
    <w:p w:rsidR="004F3162" w:rsidRPr="00ED26E0" w:rsidRDefault="004F3162" w:rsidP="004F3162">
      <w:pPr>
        <w:jc w:val="both"/>
        <w:rPr>
          <w:u w:val="single"/>
        </w:rPr>
      </w:pPr>
      <w:r w:rsidRPr="00ED26E0">
        <w:rPr>
          <w:u w:val="single"/>
        </w:rPr>
        <w:t>Valor estimado de opciones de crecimiento en millones de dólares</w:t>
      </w:r>
    </w:p>
    <w:p w:rsidR="004F3162" w:rsidRDefault="004F3162" w:rsidP="004F3162">
      <w:pPr>
        <w:jc w:val="both"/>
      </w:pPr>
    </w:p>
    <w:p w:rsidR="004F3162" w:rsidRDefault="004F3162" w:rsidP="004F3162">
      <w:pPr>
        <w:pStyle w:val="Prrafodelista"/>
        <w:numPr>
          <w:ilvl w:val="0"/>
          <w:numId w:val="4"/>
        </w:numPr>
      </w:pPr>
      <w:r>
        <w:t xml:space="preserve">338 085 - </w:t>
      </w:r>
      <w:r w:rsidRPr="004F3162">
        <w:t>212,132</w:t>
      </w:r>
      <w:r>
        <w:t xml:space="preserve">= </w:t>
      </w:r>
      <w:r w:rsidRPr="004F3162">
        <w:t>125,953</w:t>
      </w:r>
    </w:p>
    <w:p w:rsidR="004F3162" w:rsidRDefault="004F3162" w:rsidP="004F3162">
      <w:pPr>
        <w:pStyle w:val="Prrafodelista"/>
        <w:numPr>
          <w:ilvl w:val="0"/>
          <w:numId w:val="4"/>
        </w:numPr>
      </w:pPr>
      <w:r>
        <w:lastRenderedPageBreak/>
        <w:t xml:space="preserve">338 085 - </w:t>
      </w:r>
      <w:r w:rsidRPr="004F3162">
        <w:t>334,220</w:t>
      </w:r>
      <w:r>
        <w:t xml:space="preserve">= </w:t>
      </w:r>
      <w:r w:rsidRPr="004F3162">
        <w:t>3,865</w:t>
      </w:r>
    </w:p>
    <w:p w:rsidR="004F3162" w:rsidRDefault="004F3162" w:rsidP="004F3162">
      <w:pPr>
        <w:pStyle w:val="Prrafodelista"/>
      </w:pPr>
    </w:p>
    <w:p w:rsidR="004F3162" w:rsidRDefault="004F3162" w:rsidP="004F3162">
      <w:pPr>
        <w:pStyle w:val="Prrafodelista"/>
        <w:numPr>
          <w:ilvl w:val="0"/>
          <w:numId w:val="7"/>
        </w:numPr>
        <w:jc w:val="both"/>
      </w:pPr>
      <w:r w:rsidRPr="00782911">
        <w:t>Porcentaje del valor de mercado correspondiente a las opciones de crecimiento</w:t>
      </w:r>
    </w:p>
    <w:p w:rsidR="004F3162" w:rsidRDefault="004F3162" w:rsidP="004F3162">
      <w:pPr>
        <w:jc w:val="both"/>
      </w:pPr>
      <w:r>
        <w:t xml:space="preserve">El índice que nos permite determinar el porcentaje del valor de mercado correspondiente a las opciones de crecimiento para la empresa </w:t>
      </w:r>
      <w:r w:rsidRPr="00E75E0C">
        <w:t xml:space="preserve">McDonald's </w:t>
      </w:r>
      <w:proofErr w:type="spellStart"/>
      <w:r w:rsidRPr="00E75E0C">
        <w:t>Corporation</w:t>
      </w:r>
      <w:proofErr w:type="spellEnd"/>
      <w:r>
        <w:t xml:space="preserve"> resulta de la siguiente manera.</w:t>
      </w:r>
    </w:p>
    <w:p w:rsidR="004F3162" w:rsidRPr="00CD73A0" w:rsidRDefault="00471F62" w:rsidP="004F3162">
      <w:pPr>
        <w:rPr>
          <w:rFonts w:eastAsiaTheme="minorEastAsia"/>
        </w:rPr>
      </w:pPr>
      <m:oMathPara>
        <m:oMath>
          <m:f>
            <m:fPr>
              <m:ctrlPr>
                <w:rPr>
                  <w:rFonts w:ascii="Cambria Math" w:hAnsi="Cambria Math"/>
                  <w:i/>
                </w:rPr>
              </m:ctrlPr>
            </m:fPr>
            <m:num>
              <m:r>
                <m:rPr>
                  <m:sty m:val="p"/>
                </m:rPr>
                <w:rPr>
                  <w:rFonts w:ascii="Cambria Math" w:hAnsi="Cambria Math"/>
                </w:rPr>
                <m:t>125,953</m:t>
              </m:r>
            </m:num>
            <m:den>
              <m:r>
                <m:rPr>
                  <m:sty m:val="p"/>
                </m:rPr>
                <w:rPr>
                  <w:rFonts w:ascii="Cambria Math" w:hAnsi="Cambria Math"/>
                </w:rPr>
                <m:t xml:space="preserve">338 085 </m:t>
              </m:r>
            </m:den>
          </m:f>
          <m:r>
            <w:rPr>
              <w:rFonts w:ascii="Cambria Math" w:hAnsi="Cambria Math"/>
            </w:rPr>
            <m:t>= 37.25%</m:t>
          </m:r>
        </m:oMath>
      </m:oMathPara>
    </w:p>
    <w:p w:rsidR="004F3162" w:rsidRPr="00CD73A0" w:rsidRDefault="00471F62" w:rsidP="004F3162">
      <m:oMathPara>
        <m:oMath>
          <m:f>
            <m:fPr>
              <m:ctrlPr>
                <w:rPr>
                  <w:rFonts w:ascii="Cambria Math" w:hAnsi="Cambria Math"/>
                  <w:i/>
                </w:rPr>
              </m:ctrlPr>
            </m:fPr>
            <m:num>
              <m:r>
                <m:rPr>
                  <m:sty m:val="p"/>
                </m:rPr>
                <w:rPr>
                  <w:rFonts w:ascii="Cambria Math" w:hAnsi="Cambria Math"/>
                </w:rPr>
                <m:t>3,865</m:t>
              </m:r>
            </m:num>
            <m:den>
              <m:r>
                <m:rPr>
                  <m:sty m:val="p"/>
                </m:rPr>
                <w:rPr>
                  <w:rFonts w:ascii="Cambria Math" w:hAnsi="Cambria Math"/>
                </w:rPr>
                <m:t xml:space="preserve">338 085 </m:t>
              </m:r>
            </m:den>
          </m:f>
          <m:r>
            <w:rPr>
              <w:rFonts w:ascii="Cambria Math" w:hAnsi="Cambria Math"/>
            </w:rPr>
            <m:t>= 1.14%</m:t>
          </m:r>
        </m:oMath>
      </m:oMathPara>
    </w:p>
    <w:p w:rsidR="004F3162" w:rsidRDefault="004F3162" w:rsidP="004F3162">
      <w:r w:rsidRPr="00CD73A0">
        <w:rPr>
          <w:highlight w:val="yellow"/>
        </w:rPr>
        <w:t>FALTA CONCLUSIONES</w:t>
      </w:r>
      <w:r>
        <w:t xml:space="preserve"> </w:t>
      </w:r>
    </w:p>
    <w:p w:rsidR="0088013F" w:rsidRDefault="0088013F" w:rsidP="0088013F">
      <w:pPr>
        <w:ind w:firstLine="708"/>
      </w:pPr>
    </w:p>
    <w:p w:rsidR="0073112B" w:rsidRPr="0088013F" w:rsidRDefault="0071298E" w:rsidP="0073112B">
      <w:pPr>
        <w:jc w:val="both"/>
        <w:rPr>
          <w:b/>
          <w:color w:val="002060"/>
        </w:rPr>
      </w:pPr>
      <w:r>
        <w:rPr>
          <w:b/>
          <w:color w:val="002060"/>
        </w:rPr>
        <w:t>Caso 4</w:t>
      </w:r>
      <w:r w:rsidR="0073112B" w:rsidRPr="0088013F">
        <w:rPr>
          <w:b/>
          <w:color w:val="002060"/>
        </w:rPr>
        <w:t xml:space="preserve">: Opciones de crecimiento de </w:t>
      </w:r>
      <w:r w:rsidR="0073112B" w:rsidRPr="0073112B">
        <w:rPr>
          <w:b/>
          <w:color w:val="002060"/>
        </w:rPr>
        <w:t xml:space="preserve">Cisco </w:t>
      </w:r>
      <w:proofErr w:type="spellStart"/>
      <w:r w:rsidR="0073112B" w:rsidRPr="0073112B">
        <w:rPr>
          <w:b/>
          <w:color w:val="002060"/>
        </w:rPr>
        <w:t>Systems</w:t>
      </w:r>
      <w:proofErr w:type="spellEnd"/>
      <w:r w:rsidR="0073112B" w:rsidRPr="0073112B">
        <w:rPr>
          <w:b/>
          <w:color w:val="002060"/>
        </w:rPr>
        <w:t>, Inc.</w:t>
      </w:r>
    </w:p>
    <w:p w:rsidR="0073112B" w:rsidRDefault="0073112B" w:rsidP="0073112B">
      <w:pPr>
        <w:jc w:val="both"/>
      </w:pPr>
      <w:r w:rsidRPr="0088013F">
        <w:t xml:space="preserve">Se pide analizar las opciones de crecimiento para los proyectos de la empresa McDonald's </w:t>
      </w:r>
      <w:proofErr w:type="spellStart"/>
      <w:r w:rsidRPr="0088013F">
        <w:t>Corporation</w:t>
      </w:r>
      <w:proofErr w:type="spellEnd"/>
      <w:r w:rsidRPr="0088013F">
        <w:t xml:space="preserve"> que actualmente cotiza en </w:t>
      </w:r>
      <w:proofErr w:type="spellStart"/>
      <w:r w:rsidRPr="0088013F">
        <w:t>DowJones</w:t>
      </w:r>
      <w:proofErr w:type="spellEnd"/>
      <w:r w:rsidRPr="0088013F">
        <w:t xml:space="preserve"> Industrial </w:t>
      </w:r>
      <w:proofErr w:type="spellStart"/>
      <w:r w:rsidRPr="0088013F">
        <w:t>Average</w:t>
      </w:r>
      <w:proofErr w:type="spellEnd"/>
      <w:r w:rsidRPr="0088013F">
        <w:t xml:space="preserve"> </w:t>
      </w:r>
      <w:r w:rsidRPr="0088013F">
        <w:rPr>
          <w:rStyle w:val="Refdenotaalpie"/>
        </w:rPr>
        <w:footnoteReference w:id="4"/>
      </w:r>
      <w:r>
        <w:t xml:space="preserve"> , utilizando la teoría de opciones de compra sobre activos financieros. Para desarrollar este ejercicio se tiene como información tomada de </w:t>
      </w:r>
      <w:hyperlink r:id="rId14" w:history="1">
        <w:r w:rsidRPr="008D5CB8">
          <w:rPr>
            <w:rStyle w:val="Hipervnculo"/>
          </w:rPr>
          <w:t>https://finance.yahoo.com</w:t>
        </w:r>
      </w:hyperlink>
      <w:r>
        <w:t>, resumen del balance general al 2017 y datos bursátiles para el cálculo del WACC contable y el WACC de mercado utilizando la teoría del CAPM. Se pide calcular: a) valor capitalizado de los beneficios, b) valor estimado de la opción de crecimiento y c) porcentaje del valor de mercado correspondiente a las opciones de crecimiento.</w:t>
      </w:r>
    </w:p>
    <w:p w:rsidR="0088013F" w:rsidRDefault="0088013F" w:rsidP="0088013F">
      <w:pPr>
        <w:ind w:firstLine="708"/>
      </w:pPr>
      <w:r w:rsidRPr="00E75E0C">
        <w:rPr>
          <w:b/>
          <w:noProof/>
          <w:lang w:eastAsia="es-PE"/>
        </w:rPr>
        <mc:AlternateContent>
          <mc:Choice Requires="wps">
            <w:drawing>
              <wp:anchor distT="45720" distB="45720" distL="114300" distR="114300" simplePos="0" relativeHeight="251668480" behindDoc="0" locked="0" layoutInCell="1" allowOverlap="1" wp14:anchorId="31AC7982" wp14:editId="40BE49C4">
                <wp:simplePos x="0" y="0"/>
                <wp:positionH relativeFrom="column">
                  <wp:posOffset>1108075</wp:posOffset>
                </wp:positionH>
                <wp:positionV relativeFrom="paragraph">
                  <wp:posOffset>354330</wp:posOffset>
                </wp:positionV>
                <wp:extent cx="3971925" cy="1404620"/>
                <wp:effectExtent l="0" t="0" r="9525"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4620"/>
                        </a:xfrm>
                        <a:prstGeom prst="rect">
                          <a:avLst/>
                        </a:prstGeom>
                        <a:solidFill>
                          <a:srgbClr val="FFFFFF"/>
                        </a:solidFill>
                        <a:ln w="9525">
                          <a:noFill/>
                          <a:miter lim="800000"/>
                          <a:headEnd/>
                          <a:tailEnd/>
                        </a:ln>
                      </wps:spPr>
                      <wps:txbx>
                        <w:txbxContent>
                          <w:p w:rsidR="00687DF4" w:rsidRPr="00E75E0C" w:rsidRDefault="00687DF4" w:rsidP="0088013F">
                            <w:pPr>
                              <w:rPr>
                                <w:lang w:val="es-ES"/>
                              </w:rPr>
                            </w:pPr>
                            <w:r w:rsidRPr="00E75E0C">
                              <w:rPr>
                                <w:b/>
                                <w:lang w:val="es-ES"/>
                              </w:rPr>
                              <w:t xml:space="preserve">CASO </w:t>
                            </w:r>
                            <w:r>
                              <w:rPr>
                                <w:b/>
                                <w:lang w:val="es-ES"/>
                              </w:rPr>
                              <w:t>6</w:t>
                            </w:r>
                            <w:r w:rsidRPr="00E75E0C">
                              <w:rPr>
                                <w:b/>
                                <w:lang w:val="es-ES"/>
                              </w:rPr>
                              <w:t xml:space="preserve">: </w:t>
                            </w:r>
                            <w:r>
                              <w:rPr>
                                <w:lang w:val="es-ES"/>
                              </w:rPr>
                              <w:t xml:space="preserve">Cisco </w:t>
                            </w:r>
                            <w:proofErr w:type="spellStart"/>
                            <w:r>
                              <w:rPr>
                                <w:lang w:val="es-ES"/>
                              </w:rPr>
                              <w:t>Systems</w:t>
                            </w:r>
                            <w:proofErr w:type="spellEnd"/>
                            <w:r>
                              <w:rPr>
                                <w:lang w:val="es-ES"/>
                              </w:rPr>
                              <w:t>,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C7982" id="_x0000_s1030" type="#_x0000_t202" style="position:absolute;left:0;text-align:left;margin-left:87.25pt;margin-top:27.9pt;width:312.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" stroked="f">
                <v:textbox style="mso-fit-shape-to-text:t">
                  <w:txbxContent>
                    <w:p w:rsidR="00687DF4" w:rsidRPr="00E75E0C" w:rsidRDefault="00687DF4" w:rsidP="0088013F">
                      <w:pPr>
                        <w:rPr>
                          <w:lang w:val="es-ES"/>
                        </w:rPr>
                      </w:pPr>
                      <w:r w:rsidRPr="00E75E0C">
                        <w:rPr>
                          <w:b/>
                          <w:lang w:val="es-ES"/>
                        </w:rPr>
                        <w:t xml:space="preserve">CASO </w:t>
                      </w:r>
                      <w:r>
                        <w:rPr>
                          <w:b/>
                          <w:lang w:val="es-ES"/>
                        </w:rPr>
                        <w:t>6</w:t>
                      </w:r>
                      <w:r w:rsidRPr="00E75E0C">
                        <w:rPr>
                          <w:b/>
                          <w:lang w:val="es-ES"/>
                        </w:rPr>
                        <w:t xml:space="preserve">: </w:t>
                      </w:r>
                      <w:r>
                        <w:rPr>
                          <w:lang w:val="es-ES"/>
                        </w:rPr>
                        <w:t xml:space="preserve">Cisco </w:t>
                      </w:r>
                      <w:proofErr w:type="spellStart"/>
                      <w:r>
                        <w:rPr>
                          <w:lang w:val="es-ES"/>
                        </w:rPr>
                        <w:t>Systems</w:t>
                      </w:r>
                      <w:proofErr w:type="spellEnd"/>
                      <w:r>
                        <w:rPr>
                          <w:lang w:val="es-ES"/>
                        </w:rPr>
                        <w:t>, Inc.</w:t>
                      </w:r>
                    </w:p>
                  </w:txbxContent>
                </v:textbox>
                <w10:wrap type="square"/>
              </v:shape>
            </w:pict>
          </mc:Fallback>
        </mc:AlternateContent>
      </w:r>
      <w:r>
        <w:rPr>
          <w:noProof/>
          <w:lang w:eastAsia="es-PE"/>
        </w:rPr>
        <w:drawing>
          <wp:anchor distT="0" distB="0" distL="114300" distR="114300" simplePos="0" relativeHeight="251667456" behindDoc="0" locked="0" layoutInCell="1" allowOverlap="1" wp14:anchorId="5F20C05D" wp14:editId="068099AA">
            <wp:simplePos x="0" y="0"/>
            <wp:positionH relativeFrom="column">
              <wp:posOffset>91440</wp:posOffset>
            </wp:positionH>
            <wp:positionV relativeFrom="paragraph">
              <wp:posOffset>269240</wp:posOffset>
            </wp:positionV>
            <wp:extent cx="883285" cy="466725"/>
            <wp:effectExtent l="0" t="0" r="0" b="9525"/>
            <wp:wrapSquare wrapText="bothSides"/>
            <wp:docPr id="13" name="Imagen 13" descr="Resultado de imagen para CI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para CISCO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013F" w:rsidRDefault="0088013F" w:rsidP="0088013F"/>
    <w:tbl>
      <w:tblPr>
        <w:tblW w:w="8748" w:type="dxa"/>
        <w:tblInd w:w="-5" w:type="dxa"/>
        <w:tblCellMar>
          <w:left w:w="70" w:type="dxa"/>
          <w:right w:w="70" w:type="dxa"/>
        </w:tblCellMar>
        <w:tblLook w:val="04A0" w:firstRow="1" w:lastRow="0" w:firstColumn="1" w:lastColumn="0" w:noHBand="0" w:noVBand="1"/>
      </w:tblPr>
      <w:tblGrid>
        <w:gridCol w:w="3261"/>
        <w:gridCol w:w="810"/>
        <w:gridCol w:w="3867"/>
        <w:gridCol w:w="810"/>
      </w:tblGrid>
      <w:tr w:rsidR="0088013F" w:rsidRPr="00F46C50" w:rsidTr="00687DF4">
        <w:trPr>
          <w:trHeight w:val="300"/>
        </w:trPr>
        <w:tc>
          <w:tcPr>
            <w:tcW w:w="8748" w:type="dxa"/>
            <w:gridSpan w:val="4"/>
            <w:tcBorders>
              <w:top w:val="single" w:sz="4" w:space="0" w:color="000000"/>
              <w:left w:val="single" w:sz="4" w:space="0" w:color="000000"/>
              <w:bottom w:val="single" w:sz="4" w:space="0" w:color="000000"/>
              <w:right w:val="single" w:sz="4" w:space="0" w:color="000000"/>
            </w:tcBorders>
            <w:shd w:val="clear" w:color="7030A0" w:fill="7030A0"/>
            <w:noWrap/>
            <w:vAlign w:val="bottom"/>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Balance General</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Activos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2017</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Pasivos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2017</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activos corrientes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83703</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Total de pasivos corrientes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27583</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activos no corrientes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46115</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Total de pasivos no corrientes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36098</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la deuda</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63681</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 </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proofErr w:type="spellStart"/>
            <w:r w:rsidRPr="00F46C50">
              <w:rPr>
                <w:rFonts w:ascii="Calibri" w:eastAsia="Times New Roman" w:hAnsi="Calibri" w:cs="Times New Roman"/>
                <w:b/>
                <w:bCs/>
                <w:color w:val="000000"/>
                <w:lang w:eastAsia="es-PE"/>
              </w:rPr>
              <w:t>Equity</w:t>
            </w:r>
            <w:proofErr w:type="spellEnd"/>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66137</w:t>
            </w:r>
          </w:p>
        </w:tc>
      </w:tr>
      <w:tr w:rsidR="0088013F" w:rsidRPr="00F46C50" w:rsidTr="00687DF4">
        <w:trPr>
          <w:trHeight w:val="300"/>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activos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129818</w:t>
            </w:r>
          </w:p>
        </w:tc>
        <w:tc>
          <w:tcPr>
            <w:tcW w:w="3867"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Total de pasivos</w:t>
            </w:r>
          </w:p>
        </w:tc>
        <w:tc>
          <w:tcPr>
            <w:tcW w:w="81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129818</w:t>
            </w:r>
          </w:p>
        </w:tc>
      </w:tr>
    </w:tbl>
    <w:p w:rsidR="0088013F" w:rsidRDefault="0088013F" w:rsidP="0088013F">
      <w:pPr>
        <w:ind w:firstLine="708"/>
      </w:pPr>
    </w:p>
    <w:p w:rsidR="0073112B" w:rsidRDefault="0073112B" w:rsidP="0073112B">
      <w:pPr>
        <w:jc w:val="both"/>
      </w:pPr>
      <w:r>
        <w:t>SOLUCIÓN</w:t>
      </w:r>
    </w:p>
    <w:p w:rsidR="0073112B" w:rsidRPr="0061502A" w:rsidRDefault="0073112B" w:rsidP="0073112B">
      <w:pPr>
        <w:pStyle w:val="Prrafodelista"/>
        <w:numPr>
          <w:ilvl w:val="0"/>
          <w:numId w:val="9"/>
        </w:numPr>
        <w:jc w:val="both"/>
        <w:rPr>
          <w:b/>
        </w:rPr>
      </w:pPr>
      <w:r w:rsidRPr="0061502A">
        <w:rPr>
          <w:b/>
        </w:rPr>
        <w:t xml:space="preserve">Valor capitalizado de los beneficios </w:t>
      </w:r>
    </w:p>
    <w:p w:rsidR="0073112B" w:rsidRDefault="0073112B" w:rsidP="0073112B">
      <w:pPr>
        <w:jc w:val="both"/>
      </w:pPr>
      <w:r w:rsidRPr="0073112B">
        <w:lastRenderedPageBreak/>
        <w:t>Primero analizamos el costo ponderado de capital (WACC) bajo el enfoque del CAPM y cuyos resultados se pueden apreciar en la siguiente Tabla, además se tiene como información el promedio de los últimos cuatro años de las ganancias netas de esta empresa que cotiza en la bolsa de EE.UU.</w:t>
      </w:r>
    </w:p>
    <w:p w:rsidR="0088013F" w:rsidRDefault="0088013F" w:rsidP="0088013F">
      <w:r w:rsidRPr="00E75E0C">
        <w:rPr>
          <w:b/>
          <w:i/>
        </w:rPr>
        <w:t>Índice de capitalización bursátil:</w:t>
      </w:r>
      <w:r>
        <w:t xml:space="preserve"> $ 200 672 millones.</w:t>
      </w:r>
    </w:p>
    <w:tbl>
      <w:tblPr>
        <w:tblW w:w="5760" w:type="dxa"/>
        <w:tblInd w:w="-5" w:type="dxa"/>
        <w:tblCellMar>
          <w:left w:w="70" w:type="dxa"/>
          <w:right w:w="70" w:type="dxa"/>
        </w:tblCellMar>
        <w:tblLook w:val="04A0" w:firstRow="1" w:lastRow="0" w:firstColumn="1" w:lastColumn="0" w:noHBand="0" w:noVBand="1"/>
      </w:tblPr>
      <w:tblGrid>
        <w:gridCol w:w="4240"/>
        <w:gridCol w:w="1520"/>
      </w:tblGrid>
      <w:tr w:rsidR="0088013F" w:rsidRPr="00F46C50" w:rsidTr="00687DF4">
        <w:trPr>
          <w:trHeight w:val="300"/>
        </w:trPr>
        <w:tc>
          <w:tcPr>
            <w:tcW w:w="4240" w:type="dxa"/>
            <w:tcBorders>
              <w:top w:val="single" w:sz="4" w:space="0" w:color="000000"/>
              <w:left w:val="single" w:sz="4" w:space="0" w:color="000000"/>
              <w:bottom w:val="single" w:sz="4" w:space="0" w:color="000000"/>
              <w:right w:val="single" w:sz="4" w:space="0" w:color="000000"/>
            </w:tcBorders>
            <w:shd w:val="clear" w:color="7030A0" w:fill="7030A0"/>
            <w:noWrap/>
            <w:vAlign w:val="bottom"/>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Microsoft</w:t>
            </w:r>
          </w:p>
        </w:tc>
        <w:tc>
          <w:tcPr>
            <w:tcW w:w="1520" w:type="dxa"/>
            <w:tcBorders>
              <w:top w:val="single" w:sz="4" w:space="0" w:color="000000"/>
              <w:left w:val="nil"/>
              <w:bottom w:val="single" w:sz="4" w:space="0" w:color="000000"/>
              <w:right w:val="single" w:sz="4" w:space="0" w:color="000000"/>
            </w:tcBorders>
            <w:shd w:val="clear" w:color="7030A0" w:fill="7030A0"/>
            <w:noWrap/>
            <w:vAlign w:val="bottom"/>
            <w:hideMark/>
          </w:tcPr>
          <w:p w:rsidR="0088013F" w:rsidRPr="00F46C50" w:rsidRDefault="0088013F" w:rsidP="00687DF4">
            <w:pPr>
              <w:spacing w:after="0" w:line="240" w:lineRule="auto"/>
              <w:jc w:val="center"/>
              <w:rPr>
                <w:rFonts w:ascii="Calibri" w:eastAsia="Times New Roman" w:hAnsi="Calibri" w:cs="Times New Roman"/>
                <w:color w:val="FFFFFF"/>
                <w:lang w:eastAsia="es-PE"/>
              </w:rPr>
            </w:pPr>
            <w:r w:rsidRPr="00F46C50">
              <w:rPr>
                <w:rFonts w:ascii="Calibri" w:eastAsia="Times New Roman" w:hAnsi="Calibri" w:cs="Times New Roman"/>
                <w:color w:val="FFFFFF"/>
                <w:lang w:eastAsia="es-PE"/>
              </w:rPr>
              <w:t>2017</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Beta(β)</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1,18</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FFFFFF" w:fill="FFFFFF"/>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Rendimiento de bono norteamericano por 10 años(KR)</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2,957%</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Prima de riesgo (KM-KR)</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7,6%</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FFFFFF" w:fill="FFFFFF"/>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Costo de los fondos propios [Ke= KR+β(KM-KR)]</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11,925%</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Capital(C)</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66137</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Deuda(D)</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63681</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Tasa impositiva(T)</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Tasa de interés(Kd)</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color w:val="000000"/>
                <w:lang w:eastAsia="es-PE"/>
              </w:rPr>
            </w:pPr>
            <w:r w:rsidRPr="00F46C50">
              <w:rPr>
                <w:rFonts w:ascii="Calibri" w:eastAsia="Times New Roman" w:hAnsi="Calibri" w:cs="Times New Roman"/>
                <w:color w:val="000000"/>
                <w:lang w:eastAsia="es-PE"/>
              </w:rPr>
              <w:t>2,00%</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WACC (valor contable)</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6,86%</w:t>
            </w:r>
          </w:p>
        </w:tc>
      </w:tr>
      <w:tr w:rsidR="0088013F" w:rsidRPr="00F46C50" w:rsidTr="00687DF4">
        <w:trPr>
          <w:trHeight w:val="300"/>
        </w:trPr>
        <w:tc>
          <w:tcPr>
            <w:tcW w:w="4240" w:type="dxa"/>
            <w:tcBorders>
              <w:top w:val="nil"/>
              <w:left w:val="single" w:sz="4" w:space="0" w:color="000000"/>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WACC (valor de mercado)</w:t>
            </w:r>
          </w:p>
        </w:tc>
        <w:tc>
          <w:tcPr>
            <w:tcW w:w="1520" w:type="dxa"/>
            <w:tcBorders>
              <w:top w:val="nil"/>
              <w:left w:val="nil"/>
              <w:bottom w:val="single" w:sz="4" w:space="0" w:color="000000"/>
              <w:right w:val="single" w:sz="4" w:space="0" w:color="000000"/>
            </w:tcBorders>
            <w:shd w:val="clear" w:color="auto" w:fill="auto"/>
            <w:noWrap/>
            <w:vAlign w:val="bottom"/>
            <w:hideMark/>
          </w:tcPr>
          <w:p w:rsidR="0088013F" w:rsidRPr="00F46C50" w:rsidRDefault="0088013F" w:rsidP="00687DF4">
            <w:pPr>
              <w:spacing w:after="0" w:line="240" w:lineRule="auto"/>
              <w:jc w:val="center"/>
              <w:rPr>
                <w:rFonts w:ascii="Calibri" w:eastAsia="Times New Roman" w:hAnsi="Calibri" w:cs="Times New Roman"/>
                <w:b/>
                <w:bCs/>
                <w:color w:val="000000"/>
                <w:lang w:eastAsia="es-PE"/>
              </w:rPr>
            </w:pPr>
            <w:r w:rsidRPr="00F46C50">
              <w:rPr>
                <w:rFonts w:ascii="Calibri" w:eastAsia="Times New Roman" w:hAnsi="Calibri" w:cs="Times New Roman"/>
                <w:b/>
                <w:bCs/>
                <w:color w:val="000000"/>
                <w:lang w:eastAsia="es-PE"/>
              </w:rPr>
              <w:t>9,44%</w:t>
            </w:r>
          </w:p>
        </w:tc>
      </w:tr>
    </w:tbl>
    <w:p w:rsidR="0088013F" w:rsidRDefault="0088013F" w:rsidP="0088013F">
      <w:pPr>
        <w:ind w:firstLine="708"/>
      </w:pPr>
    </w:p>
    <w:tbl>
      <w:tblPr>
        <w:tblW w:w="7524" w:type="dxa"/>
        <w:tblCellMar>
          <w:left w:w="70" w:type="dxa"/>
          <w:right w:w="70" w:type="dxa"/>
        </w:tblCellMar>
        <w:tblLook w:val="04A0" w:firstRow="1" w:lastRow="0" w:firstColumn="1" w:lastColumn="0" w:noHBand="0" w:noVBand="1"/>
      </w:tblPr>
      <w:tblGrid>
        <w:gridCol w:w="3512"/>
        <w:gridCol w:w="4012"/>
      </w:tblGrid>
      <w:tr w:rsidR="0088013F" w:rsidRPr="00485236" w:rsidTr="0073112B">
        <w:trPr>
          <w:trHeight w:val="187"/>
        </w:trPr>
        <w:tc>
          <w:tcPr>
            <w:tcW w:w="7524" w:type="dxa"/>
            <w:gridSpan w:val="2"/>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Promedio de los 4 últimos años</w:t>
            </w:r>
            <w:r w:rsidR="0073112B" w:rsidRPr="00687DF4">
              <w:rPr>
                <w:rFonts w:ascii="Calibri" w:eastAsia="Times New Roman" w:hAnsi="Calibri" w:cs="Times New Roman"/>
                <w:color w:val="FFFFFF"/>
                <w:lang w:eastAsia="es-PE"/>
              </w:rPr>
              <w:t>(En millones de dólares)</w:t>
            </w:r>
          </w:p>
        </w:tc>
      </w:tr>
      <w:tr w:rsidR="0088013F" w:rsidRPr="00485236" w:rsidTr="0073112B">
        <w:trPr>
          <w:trHeight w:val="187"/>
        </w:trPr>
        <w:tc>
          <w:tcPr>
            <w:tcW w:w="3512" w:type="dxa"/>
            <w:tcBorders>
              <w:top w:val="nil"/>
              <w:left w:val="single" w:sz="4" w:space="0" w:color="auto"/>
              <w:bottom w:val="single" w:sz="4" w:space="0" w:color="auto"/>
              <w:right w:val="single" w:sz="4" w:space="0" w:color="auto"/>
            </w:tcBorders>
            <w:shd w:val="clear" w:color="000000" w:fill="7030A0"/>
            <w:vAlign w:val="center"/>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Ganancias Netas</w:t>
            </w:r>
          </w:p>
        </w:tc>
        <w:tc>
          <w:tcPr>
            <w:tcW w:w="4011" w:type="dxa"/>
            <w:tcBorders>
              <w:top w:val="nil"/>
              <w:left w:val="nil"/>
              <w:bottom w:val="single" w:sz="4" w:space="0" w:color="auto"/>
              <w:right w:val="single" w:sz="4" w:space="0" w:color="auto"/>
            </w:tcBorders>
            <w:shd w:val="clear" w:color="000000" w:fill="7030A0"/>
            <w:vAlign w:val="bottom"/>
            <w:hideMark/>
          </w:tcPr>
          <w:p w:rsidR="0088013F" w:rsidRPr="00485236" w:rsidRDefault="0088013F" w:rsidP="00687DF4">
            <w:pPr>
              <w:spacing w:after="0" w:line="240" w:lineRule="auto"/>
              <w:jc w:val="center"/>
              <w:rPr>
                <w:rFonts w:ascii="Calibri" w:eastAsia="Times New Roman" w:hAnsi="Calibri" w:cs="Times New Roman"/>
                <w:color w:val="FFFFFF"/>
                <w:lang w:eastAsia="es-PE"/>
              </w:rPr>
            </w:pPr>
            <w:r w:rsidRPr="00485236">
              <w:rPr>
                <w:rFonts w:ascii="Calibri" w:eastAsia="Times New Roman" w:hAnsi="Calibri" w:cs="Times New Roman"/>
                <w:color w:val="FFFFFF"/>
                <w:lang w:eastAsia="es-PE"/>
              </w:rPr>
              <w:t>Flujo de caja total de actividades en curso</w:t>
            </w:r>
          </w:p>
        </w:tc>
      </w:tr>
      <w:tr w:rsidR="0088013F" w:rsidRPr="00485236" w:rsidTr="0073112B">
        <w:trPr>
          <w:trHeight w:val="187"/>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9295,5</w:t>
            </w:r>
          </w:p>
        </w:tc>
        <w:tc>
          <w:tcPr>
            <w:tcW w:w="4011" w:type="dxa"/>
            <w:tcBorders>
              <w:top w:val="nil"/>
              <w:left w:val="nil"/>
              <w:bottom w:val="single" w:sz="4" w:space="0" w:color="auto"/>
              <w:right w:val="single" w:sz="4" w:space="0" w:color="auto"/>
            </w:tcBorders>
            <w:shd w:val="clear" w:color="auto" w:fill="auto"/>
            <w:noWrap/>
            <w:vAlign w:val="bottom"/>
            <w:hideMark/>
          </w:tcPr>
          <w:p w:rsidR="0088013F" w:rsidRPr="00485236" w:rsidRDefault="0088013F" w:rsidP="00687DF4">
            <w:pPr>
              <w:spacing w:after="0" w:line="240" w:lineRule="auto"/>
              <w:jc w:val="center"/>
              <w:rPr>
                <w:rFonts w:ascii="Calibri" w:eastAsia="Times New Roman" w:hAnsi="Calibri" w:cs="Times New Roman"/>
                <w:color w:val="000000"/>
                <w:lang w:eastAsia="es-PE"/>
              </w:rPr>
            </w:pPr>
            <w:r w:rsidRPr="00485236">
              <w:rPr>
                <w:rFonts w:ascii="Calibri" w:eastAsia="Times New Roman" w:hAnsi="Calibri" w:cs="Times New Roman"/>
                <w:color w:val="000000"/>
                <w:lang w:eastAsia="es-PE"/>
              </w:rPr>
              <w:t>13082,5</w:t>
            </w:r>
          </w:p>
        </w:tc>
      </w:tr>
    </w:tbl>
    <w:p w:rsidR="0088013F" w:rsidRDefault="0088013F" w:rsidP="0088013F">
      <w:pPr>
        <w:ind w:firstLine="708"/>
      </w:pPr>
    </w:p>
    <w:p w:rsidR="0073112B" w:rsidRDefault="0073112B" w:rsidP="0073112B">
      <w:pPr>
        <w:jc w:val="both"/>
      </w:pPr>
      <w:r>
        <w:t>Luego procedemos a calcular el valor capitalizado de los beneficios utilizando el WACC bursátil con la siguiente ecuación financiera.</w:t>
      </w:r>
    </w:p>
    <w:p w:rsidR="0073112B" w:rsidRDefault="00471F62" w:rsidP="0073112B">
      <w:pPr>
        <w:ind w:firstLine="708"/>
        <w:rPr>
          <w:rFonts w:eastAsiaTheme="minorEastAsia"/>
        </w:rPr>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$ 9,295.5</m:t>
            </m:r>
          </m:num>
          <m:den>
            <m:r>
              <w:rPr>
                <w:rFonts w:ascii="Cambria Math" w:hAnsi="Cambria Math"/>
              </w:rPr>
              <m:t>0.0686</m:t>
            </m:r>
          </m:den>
        </m:f>
        <m:r>
          <w:rPr>
            <w:rFonts w:ascii="Cambria Math" w:hAnsi="Cambria Math"/>
          </w:rPr>
          <m:t>=$ 98,492.53</m:t>
        </m:r>
      </m:oMath>
      <w:r w:rsidR="0073112B">
        <w:rPr>
          <w:rFonts w:eastAsiaTheme="minorEastAsia"/>
        </w:rPr>
        <w:t xml:space="preserve">; Valor capitalizado con ganancias netas </w:t>
      </w:r>
    </w:p>
    <w:p w:rsidR="0073112B" w:rsidRDefault="00471F62" w:rsidP="0073112B">
      <w:pPr>
        <w:ind w:firstLine="708"/>
      </w:pPr>
      <m:oMath>
        <m:sSub>
          <m:sSubPr>
            <m:ctrlPr>
              <w:rPr>
                <w:rFonts w:ascii="Cambria Math" w:hAnsi="Cambria Math"/>
                <w:i/>
              </w:rPr>
            </m:ctrlPr>
          </m:sSubPr>
          <m:e>
            <m:r>
              <w:rPr>
                <w:rFonts w:ascii="Cambria Math" w:hAnsi="Cambria Math"/>
              </w:rPr>
              <m:t>VC</m:t>
            </m:r>
          </m:e>
          <m:sub>
            <m:r>
              <w:rPr>
                <w:rFonts w:ascii="Cambria Math" w:hAnsi="Cambria Math"/>
              </w:rPr>
              <m:t>MD</m:t>
            </m:r>
          </m:sub>
        </m:sSub>
        <m:r>
          <w:rPr>
            <w:rFonts w:ascii="Cambria Math" w:hAnsi="Cambria Math"/>
          </w:rPr>
          <m:t>=</m:t>
        </m:r>
        <m:f>
          <m:fPr>
            <m:ctrlPr>
              <w:rPr>
                <w:rFonts w:ascii="Cambria Math" w:hAnsi="Cambria Math"/>
                <w:i/>
              </w:rPr>
            </m:ctrlPr>
          </m:fPr>
          <m:num>
            <m:r>
              <m:rPr>
                <m:sty m:val="p"/>
              </m:rPr>
              <w:rPr>
                <w:rFonts w:ascii="Cambria Math" w:eastAsia="Times New Roman" w:hAnsi="Cambria Math" w:cs="Times New Roman"/>
                <w:color w:val="000000"/>
                <w:lang w:eastAsia="es-PE"/>
              </w:rPr>
              <m:t>$ 13,082.5</m:t>
            </m:r>
          </m:num>
          <m:den>
            <m:r>
              <w:rPr>
                <w:rFonts w:ascii="Cambria Math" w:hAnsi="Cambria Math"/>
              </w:rPr>
              <m:t>0.0686</m:t>
            </m:r>
          </m:den>
        </m:f>
        <m:r>
          <w:rPr>
            <w:rFonts w:ascii="Cambria Math" w:hAnsi="Cambria Math"/>
          </w:rPr>
          <m:t xml:space="preserve">=$ 138618.53 </m:t>
        </m:r>
      </m:oMath>
      <w:r w:rsidR="0073112B">
        <w:rPr>
          <w:rFonts w:eastAsiaTheme="minorEastAsia"/>
        </w:rPr>
        <w:t xml:space="preserve">; Valor capitalizado con flujo de actividades </w:t>
      </w:r>
    </w:p>
    <w:p w:rsidR="0073112B" w:rsidRDefault="0073112B" w:rsidP="0073112B">
      <w:pPr>
        <w:ind w:firstLine="708"/>
      </w:pPr>
    </w:p>
    <w:p w:rsidR="0073112B" w:rsidRDefault="0073112B" w:rsidP="0073112B">
      <w:pPr>
        <w:pStyle w:val="Prrafodelista"/>
        <w:numPr>
          <w:ilvl w:val="0"/>
          <w:numId w:val="5"/>
        </w:numPr>
        <w:jc w:val="both"/>
      </w:pPr>
      <w:r>
        <w:t>V</w:t>
      </w:r>
      <w:r w:rsidRPr="00EF2AC5">
        <w:t>alor estimado de la opción de crecimiento</w:t>
      </w:r>
    </w:p>
    <w:p w:rsidR="0073112B" w:rsidRDefault="0073112B" w:rsidP="0073112B">
      <w:pPr>
        <w:jc w:val="both"/>
      </w:pPr>
      <w:r>
        <w:t>El valor estimado de opciones de crecimiento lo obtenemos con la diferencia entre el valor de mercado (el índice de capitalización bursátil) de los recursos propios y los valores de las ganancias netas y flujo de actividades.</w:t>
      </w:r>
    </w:p>
    <w:p w:rsidR="0073112B" w:rsidRPr="00ED26E0" w:rsidRDefault="0073112B" w:rsidP="0073112B">
      <w:pPr>
        <w:jc w:val="both"/>
        <w:rPr>
          <w:u w:val="single"/>
        </w:rPr>
      </w:pPr>
      <w:r w:rsidRPr="00ED26E0">
        <w:rPr>
          <w:u w:val="single"/>
        </w:rPr>
        <w:t>Valor estimado de opciones de crecimiento en millones de dólares</w:t>
      </w:r>
    </w:p>
    <w:p w:rsidR="0073112B" w:rsidRDefault="0073112B" w:rsidP="0073112B">
      <w:pPr>
        <w:pStyle w:val="Prrafodelista"/>
        <w:numPr>
          <w:ilvl w:val="0"/>
          <w:numId w:val="4"/>
        </w:numPr>
      </w:pPr>
      <w:r>
        <w:t xml:space="preserve">200 672 - </w:t>
      </w:r>
      <w:r w:rsidRPr="0073112B">
        <w:t>98,492.53</w:t>
      </w:r>
      <w:r>
        <w:t xml:space="preserve">= </w:t>
      </w:r>
      <w:r w:rsidRPr="00F93B22">
        <w:rPr>
          <w:b/>
        </w:rPr>
        <w:t>102</w:t>
      </w:r>
      <w:r w:rsidR="00F93B22">
        <w:rPr>
          <w:b/>
        </w:rPr>
        <w:t>,</w:t>
      </w:r>
      <w:r w:rsidRPr="00F93B22">
        <w:rPr>
          <w:b/>
        </w:rPr>
        <w:t>179.47</w:t>
      </w:r>
    </w:p>
    <w:p w:rsidR="0073112B" w:rsidRDefault="0073112B" w:rsidP="00F93B22">
      <w:pPr>
        <w:pStyle w:val="Prrafodelista"/>
        <w:numPr>
          <w:ilvl w:val="0"/>
          <w:numId w:val="4"/>
        </w:numPr>
      </w:pPr>
      <w:r>
        <w:t xml:space="preserve">200 672 </w:t>
      </w:r>
      <w:r w:rsidR="00F93B22">
        <w:t>–</w:t>
      </w:r>
      <w:r>
        <w:t xml:space="preserve"> </w:t>
      </w:r>
      <w:r w:rsidRPr="0073112B">
        <w:t>138</w:t>
      </w:r>
      <w:r w:rsidR="00F93B22">
        <w:t>,</w:t>
      </w:r>
      <w:r w:rsidRPr="0073112B">
        <w:t xml:space="preserve">618.53 </w:t>
      </w:r>
      <w:r>
        <w:t xml:space="preserve">= </w:t>
      </w:r>
      <w:r w:rsidR="00F93B22" w:rsidRPr="00F93B22">
        <w:rPr>
          <w:b/>
        </w:rPr>
        <w:t>62</w:t>
      </w:r>
      <w:r w:rsidR="00F93B22">
        <w:rPr>
          <w:b/>
        </w:rPr>
        <w:t>,</w:t>
      </w:r>
      <w:r w:rsidR="00F93B22" w:rsidRPr="00F93B22">
        <w:rPr>
          <w:b/>
        </w:rPr>
        <w:t>053.47</w:t>
      </w:r>
    </w:p>
    <w:p w:rsidR="0073112B" w:rsidRDefault="0073112B" w:rsidP="0073112B"/>
    <w:p w:rsidR="0073112B" w:rsidRDefault="0073112B" w:rsidP="0073112B">
      <w:pPr>
        <w:pStyle w:val="Prrafodelista"/>
        <w:numPr>
          <w:ilvl w:val="0"/>
          <w:numId w:val="5"/>
        </w:numPr>
        <w:jc w:val="both"/>
      </w:pPr>
      <w:r w:rsidRPr="00782911">
        <w:t>Porcentaje del valor de mercado correspondiente a las opciones de crecimiento</w:t>
      </w:r>
    </w:p>
    <w:p w:rsidR="0073112B" w:rsidRDefault="0073112B" w:rsidP="0073112B">
      <w:pPr>
        <w:jc w:val="both"/>
      </w:pPr>
      <w:r>
        <w:lastRenderedPageBreak/>
        <w:t xml:space="preserve">El índice que nos permite determinar el porcentaje del valor de mercado correspondiente a las opciones de crecimiento para la empresa </w:t>
      </w:r>
      <w:r w:rsidRPr="00E75E0C">
        <w:t xml:space="preserve">McDonald's </w:t>
      </w:r>
      <w:proofErr w:type="spellStart"/>
      <w:r w:rsidRPr="00E75E0C">
        <w:t>Corporation</w:t>
      </w:r>
      <w:proofErr w:type="spellEnd"/>
      <w:r>
        <w:t xml:space="preserve"> resulta de la siguiente manera.</w:t>
      </w:r>
    </w:p>
    <w:p w:rsidR="0073112B" w:rsidRPr="00CD73A0" w:rsidRDefault="00471F62" w:rsidP="0073112B">
      <w:pPr>
        <w:rPr>
          <w:rFonts w:eastAsiaTheme="minorEastAsia"/>
        </w:rPr>
      </w:pPr>
      <m:oMathPara>
        <m:oMath>
          <m:f>
            <m:fPr>
              <m:ctrlPr>
                <w:rPr>
                  <w:rFonts w:ascii="Cambria Math" w:hAnsi="Cambria Math"/>
                  <w:i/>
                </w:rPr>
              </m:ctrlPr>
            </m:fPr>
            <m:num>
              <m:r>
                <m:rPr>
                  <m:sty m:val="p"/>
                </m:rPr>
                <w:rPr>
                  <w:rFonts w:ascii="Cambria Math" w:hAnsi="Cambria Math"/>
                </w:rPr>
                <m:t>102,179.47</m:t>
              </m:r>
            </m:num>
            <m:den>
              <m:r>
                <m:rPr>
                  <m:sty m:val="p"/>
                </m:rPr>
                <w:rPr>
                  <w:rFonts w:ascii="Cambria Math" w:hAnsi="Cambria Math"/>
                </w:rPr>
                <m:t xml:space="preserve">200 672 </m:t>
              </m:r>
            </m:den>
          </m:f>
          <m:r>
            <w:rPr>
              <w:rFonts w:ascii="Cambria Math" w:hAnsi="Cambria Math"/>
            </w:rPr>
            <m:t>= 50.92%</m:t>
          </m:r>
        </m:oMath>
      </m:oMathPara>
    </w:p>
    <w:p w:rsidR="0073112B" w:rsidRPr="00CD73A0" w:rsidRDefault="00471F62" w:rsidP="0073112B">
      <m:oMathPara>
        <m:oMath>
          <m:f>
            <m:fPr>
              <m:ctrlPr>
                <w:rPr>
                  <w:rFonts w:ascii="Cambria Math" w:hAnsi="Cambria Math"/>
                  <w:i/>
                </w:rPr>
              </m:ctrlPr>
            </m:fPr>
            <m:num>
              <m:r>
                <m:rPr>
                  <m:sty m:val="p"/>
                </m:rPr>
                <w:rPr>
                  <w:rFonts w:ascii="Cambria Math" w:hAnsi="Cambria Math"/>
                </w:rPr>
                <m:t>62,053.47</m:t>
              </m:r>
            </m:num>
            <m:den>
              <m:r>
                <m:rPr>
                  <m:sty m:val="p"/>
                </m:rPr>
                <w:rPr>
                  <w:rFonts w:ascii="Cambria Math" w:hAnsi="Cambria Math"/>
                </w:rPr>
                <m:t xml:space="preserve">200 672 </m:t>
              </m:r>
            </m:den>
          </m:f>
          <m:r>
            <w:rPr>
              <w:rFonts w:ascii="Cambria Math" w:hAnsi="Cambria Math"/>
            </w:rPr>
            <m:t>=30.92%</m:t>
          </m:r>
        </m:oMath>
      </m:oMathPara>
    </w:p>
    <w:tbl>
      <w:tblPr>
        <w:tblW w:w="1520" w:type="dxa"/>
        <w:tblCellMar>
          <w:left w:w="70" w:type="dxa"/>
          <w:right w:w="70" w:type="dxa"/>
        </w:tblCellMar>
        <w:tblLook w:val="04A0" w:firstRow="1" w:lastRow="0" w:firstColumn="1" w:lastColumn="0" w:noHBand="0" w:noVBand="1"/>
      </w:tblPr>
      <w:tblGrid>
        <w:gridCol w:w="1520"/>
      </w:tblGrid>
      <w:tr w:rsidR="00506E0E" w:rsidRPr="00506E0E" w:rsidTr="00506E0E">
        <w:trPr>
          <w:trHeight w:val="300"/>
        </w:trPr>
        <w:tc>
          <w:tcPr>
            <w:tcW w:w="1520" w:type="dxa"/>
            <w:tcBorders>
              <w:top w:val="nil"/>
              <w:left w:val="nil"/>
              <w:bottom w:val="nil"/>
              <w:right w:val="nil"/>
            </w:tcBorders>
            <w:shd w:val="clear" w:color="auto" w:fill="auto"/>
            <w:noWrap/>
            <w:vAlign w:val="bottom"/>
            <w:hideMark/>
          </w:tcPr>
          <w:p w:rsidR="00506E0E" w:rsidRPr="00506E0E" w:rsidRDefault="00506E0E" w:rsidP="00506E0E">
            <w:pPr>
              <w:spacing w:after="0" w:line="240" w:lineRule="auto"/>
              <w:jc w:val="right"/>
              <w:rPr>
                <w:rFonts w:ascii="Calibri" w:eastAsia="Times New Roman" w:hAnsi="Calibri" w:cs="Calibri"/>
                <w:color w:val="000000"/>
                <w:lang w:eastAsia="es-PE"/>
              </w:rPr>
            </w:pPr>
            <w:r w:rsidRPr="00506E0E">
              <w:rPr>
                <w:rFonts w:ascii="Calibri" w:eastAsia="Times New Roman" w:hAnsi="Calibri" w:cs="Calibri"/>
                <w:color w:val="000000"/>
                <w:lang w:eastAsia="es-PE"/>
              </w:rPr>
              <w:t>50.92%</w:t>
            </w:r>
          </w:p>
        </w:tc>
      </w:tr>
      <w:tr w:rsidR="00506E0E" w:rsidRPr="00506E0E" w:rsidTr="00506E0E">
        <w:trPr>
          <w:trHeight w:val="300"/>
        </w:trPr>
        <w:tc>
          <w:tcPr>
            <w:tcW w:w="1520" w:type="dxa"/>
            <w:tcBorders>
              <w:top w:val="nil"/>
              <w:left w:val="nil"/>
              <w:bottom w:val="nil"/>
              <w:right w:val="nil"/>
            </w:tcBorders>
            <w:shd w:val="clear" w:color="auto" w:fill="auto"/>
            <w:noWrap/>
            <w:vAlign w:val="bottom"/>
            <w:hideMark/>
          </w:tcPr>
          <w:p w:rsidR="00506E0E" w:rsidRPr="00506E0E" w:rsidRDefault="00506E0E" w:rsidP="00506E0E">
            <w:pPr>
              <w:spacing w:after="0" w:line="240" w:lineRule="auto"/>
              <w:jc w:val="right"/>
              <w:rPr>
                <w:rFonts w:ascii="Calibri" w:eastAsia="Times New Roman" w:hAnsi="Calibri" w:cs="Calibri"/>
                <w:color w:val="000000"/>
                <w:lang w:eastAsia="es-PE"/>
              </w:rPr>
            </w:pPr>
            <w:r w:rsidRPr="00506E0E">
              <w:rPr>
                <w:rFonts w:ascii="Calibri" w:eastAsia="Times New Roman" w:hAnsi="Calibri" w:cs="Calibri"/>
                <w:color w:val="000000"/>
                <w:lang w:eastAsia="es-PE"/>
              </w:rPr>
              <w:t>30.92%</w:t>
            </w:r>
          </w:p>
        </w:tc>
      </w:tr>
    </w:tbl>
    <w:p w:rsidR="0073112B" w:rsidRDefault="0073112B" w:rsidP="0073112B"/>
    <w:p w:rsidR="0073112B" w:rsidRDefault="0073112B" w:rsidP="0073112B">
      <w:r w:rsidRPr="00CD73A0">
        <w:rPr>
          <w:highlight w:val="yellow"/>
        </w:rPr>
        <w:t>FALTA CONCLUSIONES</w:t>
      </w:r>
      <w:r>
        <w:t xml:space="preserve"> </w:t>
      </w:r>
    </w:p>
    <w:p w:rsidR="00DB01F6" w:rsidRDefault="00DB01F6" w:rsidP="0073112B"/>
    <w:p w:rsidR="0088013F" w:rsidRDefault="0088013F" w:rsidP="0073112B"/>
    <w:tbl>
      <w:tblPr>
        <w:tblW w:w="10840" w:type="dxa"/>
        <w:tblInd w:w="-1163" w:type="dxa"/>
        <w:tblCellMar>
          <w:left w:w="70" w:type="dxa"/>
          <w:right w:w="70" w:type="dxa"/>
        </w:tblCellMar>
        <w:tblLook w:val="04A0" w:firstRow="1" w:lastRow="0" w:firstColumn="1" w:lastColumn="0" w:noHBand="0" w:noVBand="1"/>
      </w:tblPr>
      <w:tblGrid>
        <w:gridCol w:w="3040"/>
        <w:gridCol w:w="1920"/>
        <w:gridCol w:w="2080"/>
        <w:gridCol w:w="1860"/>
        <w:gridCol w:w="1940"/>
      </w:tblGrid>
      <w:tr w:rsidR="0088013F" w:rsidRPr="00EA3CDD" w:rsidTr="00687DF4">
        <w:trPr>
          <w:trHeight w:val="615"/>
        </w:trPr>
        <w:tc>
          <w:tcPr>
            <w:tcW w:w="3040" w:type="dxa"/>
            <w:tcBorders>
              <w:top w:val="nil"/>
              <w:left w:val="nil"/>
              <w:bottom w:val="nil"/>
              <w:right w:val="nil"/>
            </w:tcBorders>
            <w:shd w:val="clear" w:color="auto" w:fill="auto"/>
            <w:noWrap/>
            <w:vAlign w:val="bottom"/>
            <w:hideMark/>
          </w:tcPr>
          <w:p w:rsidR="0088013F" w:rsidRDefault="0088013F" w:rsidP="00687DF4">
            <w:pPr>
              <w:spacing w:after="0" w:line="240" w:lineRule="auto"/>
              <w:rPr>
                <w:rFonts w:ascii="Times New Roman" w:eastAsia="Times New Roman" w:hAnsi="Times New Roman" w:cs="Times New Roman"/>
                <w:sz w:val="24"/>
                <w:szCs w:val="24"/>
                <w:lang w:eastAsia="es-PE"/>
              </w:rPr>
            </w:pPr>
          </w:p>
          <w:p w:rsidR="00DB01F6" w:rsidRPr="00EA3CDD" w:rsidRDefault="00DB01F6" w:rsidP="00687DF4">
            <w:pPr>
              <w:spacing w:after="0" w:line="240" w:lineRule="auto"/>
              <w:rPr>
                <w:rFonts w:ascii="Times New Roman" w:eastAsia="Times New Roman" w:hAnsi="Times New Roman" w:cs="Times New Roman"/>
                <w:sz w:val="24"/>
                <w:szCs w:val="24"/>
                <w:lang w:eastAsia="es-PE"/>
              </w:rPr>
            </w:pPr>
          </w:p>
        </w:tc>
        <w:tc>
          <w:tcPr>
            <w:tcW w:w="1920" w:type="dxa"/>
            <w:tcBorders>
              <w:top w:val="nil"/>
              <w:left w:val="nil"/>
              <w:bottom w:val="single" w:sz="8" w:space="0" w:color="auto"/>
              <w:right w:val="nil"/>
            </w:tcBorders>
            <w:shd w:val="clear" w:color="000000" w:fill="BFBFBF"/>
            <w:vAlign w:val="center"/>
            <w:hideMark/>
          </w:tcPr>
          <w:p w:rsidR="0088013F" w:rsidRPr="00EA3CDD" w:rsidRDefault="0088013F" w:rsidP="00687DF4">
            <w:pPr>
              <w:spacing w:after="0" w:line="240" w:lineRule="auto"/>
              <w:jc w:val="center"/>
              <w:rPr>
                <w:rFonts w:ascii="Calibri" w:eastAsia="Times New Roman" w:hAnsi="Calibri" w:cs="Times New Roman"/>
                <w:i/>
                <w:iCs/>
                <w:color w:val="000000"/>
                <w:lang w:eastAsia="es-PE"/>
              </w:rPr>
            </w:pPr>
            <w:r w:rsidRPr="00EA3CDD">
              <w:rPr>
                <w:rFonts w:ascii="Calibri" w:eastAsia="Times New Roman" w:hAnsi="Calibri" w:cs="Times New Roman"/>
                <w:i/>
                <w:iCs/>
                <w:color w:val="000000"/>
                <w:lang w:eastAsia="es-PE"/>
              </w:rPr>
              <w:t>Valor de mercado (</w:t>
            </w:r>
            <w:proofErr w:type="spellStart"/>
            <w:r w:rsidRPr="00EA3CDD">
              <w:rPr>
                <w:rFonts w:ascii="Calibri" w:eastAsia="Times New Roman" w:hAnsi="Calibri" w:cs="Times New Roman"/>
                <w:i/>
                <w:iCs/>
                <w:color w:val="000000"/>
                <w:lang w:eastAsia="es-PE"/>
              </w:rPr>
              <w:t>Mill</w:t>
            </w:r>
            <w:proofErr w:type="spellEnd"/>
            <w:r w:rsidRPr="00EA3CDD">
              <w:rPr>
                <w:rFonts w:ascii="Calibri" w:eastAsia="Times New Roman" w:hAnsi="Calibri" w:cs="Times New Roman"/>
                <w:i/>
                <w:iCs/>
                <w:color w:val="000000"/>
                <w:lang w:eastAsia="es-PE"/>
              </w:rPr>
              <w:t xml:space="preserve">. De $) </w:t>
            </w:r>
          </w:p>
        </w:tc>
        <w:tc>
          <w:tcPr>
            <w:tcW w:w="2080" w:type="dxa"/>
            <w:tcBorders>
              <w:top w:val="nil"/>
              <w:left w:val="nil"/>
              <w:bottom w:val="single" w:sz="8" w:space="0" w:color="auto"/>
              <w:right w:val="nil"/>
            </w:tcBorders>
            <w:shd w:val="clear" w:color="000000" w:fill="BFBFBF"/>
            <w:noWrap/>
            <w:vAlign w:val="center"/>
            <w:hideMark/>
          </w:tcPr>
          <w:p w:rsidR="0088013F" w:rsidRPr="00EA3CDD" w:rsidRDefault="0088013F" w:rsidP="00687DF4">
            <w:pPr>
              <w:spacing w:after="0" w:line="240" w:lineRule="auto"/>
              <w:jc w:val="center"/>
              <w:rPr>
                <w:rFonts w:ascii="Calibri" w:eastAsia="Times New Roman" w:hAnsi="Calibri" w:cs="Times New Roman"/>
                <w:i/>
                <w:iCs/>
                <w:color w:val="000000"/>
                <w:lang w:eastAsia="es-PE"/>
              </w:rPr>
            </w:pPr>
            <w:r w:rsidRPr="00EA3CDD">
              <w:rPr>
                <w:rFonts w:ascii="Calibri" w:eastAsia="Times New Roman" w:hAnsi="Calibri" w:cs="Times New Roman"/>
                <w:i/>
                <w:iCs/>
                <w:color w:val="000000"/>
                <w:lang w:eastAsia="es-PE"/>
              </w:rPr>
              <w:t>Beneficios Previstos</w:t>
            </w:r>
          </w:p>
        </w:tc>
        <w:tc>
          <w:tcPr>
            <w:tcW w:w="186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p>
          <w:tbl>
            <w:tblPr>
              <w:tblW w:w="0" w:type="auto"/>
              <w:tblCellSpacing w:w="0" w:type="dxa"/>
              <w:tblCellMar>
                <w:left w:w="0" w:type="dxa"/>
                <w:right w:w="0" w:type="dxa"/>
              </w:tblCellMar>
              <w:tblLook w:val="04A0" w:firstRow="1" w:lastRow="0" w:firstColumn="1" w:lastColumn="0" w:noHBand="0" w:noVBand="1"/>
            </w:tblPr>
            <w:tblGrid>
              <w:gridCol w:w="1720"/>
            </w:tblGrid>
            <w:tr w:rsidR="0088013F" w:rsidRPr="00EA3CDD" w:rsidTr="00687DF4">
              <w:trPr>
                <w:trHeight w:val="615"/>
                <w:tblCellSpacing w:w="0" w:type="dxa"/>
              </w:trPr>
              <w:tc>
                <w:tcPr>
                  <w:tcW w:w="1720" w:type="dxa"/>
                  <w:tcBorders>
                    <w:top w:val="nil"/>
                    <w:left w:val="nil"/>
                    <w:bottom w:val="single" w:sz="8" w:space="0" w:color="auto"/>
                    <w:right w:val="nil"/>
                  </w:tcBorders>
                  <w:shd w:val="clear" w:color="000000" w:fill="BFBFBF"/>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noProof/>
                      <w:color w:val="000000"/>
                      <w:lang w:eastAsia="es-PE"/>
                    </w:rPr>
                    <mc:AlternateContent>
                      <mc:Choice Requires="wps">
                        <w:drawing>
                          <wp:anchor distT="0" distB="0" distL="114300" distR="114300" simplePos="0" relativeHeight="251669504" behindDoc="0" locked="0" layoutInCell="1" allowOverlap="1" wp14:anchorId="0E93B520" wp14:editId="5398401A">
                            <wp:simplePos x="0" y="0"/>
                            <wp:positionH relativeFrom="column">
                              <wp:posOffset>133350</wp:posOffset>
                            </wp:positionH>
                            <wp:positionV relativeFrom="paragraph">
                              <wp:posOffset>33655</wp:posOffset>
                            </wp:positionV>
                            <wp:extent cx="876300" cy="17145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876714" cy="1654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87DF4" w:rsidRDefault="00471F62" w:rsidP="0088013F">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lang w:val="es-ES"/>
                                                  </w:rPr>
                                                  <m:t>WACC</m:t>
                                                </m:r>
                                              </m:e>
                                              <m:sub>
                                                <m:r>
                                                  <w:rPr>
                                                    <w:rFonts w:ascii="Cambria Math" w:hAnsi="Cambria Math" w:cstheme="minorBidi"/>
                                                    <w:color w:val="000000" w:themeColor="text1"/>
                                                    <w:sz w:val="22"/>
                                                    <w:szCs w:val="22"/>
                                                    <w:lang w:val="es-ES"/>
                                                  </w:rPr>
                                                  <m:t>Contable</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0E93B520" id="Cuadro de texto 16" o:spid="_x0000_s1031" type="#_x0000_t202" style="position:absolute;left:0;text-align:left;margin-left:10.5pt;margin-top:2.65pt;width:69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" filled="f" stroked="f">
                            <v:textbox style="mso-fit-shape-to-text:t" inset="0,0,0,0">
                              <w:txbxContent>
                                <w:p w:rsidR="00687DF4" w:rsidRDefault="00D23EAD" w:rsidP="0088013F">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lang w:val="es-ES"/>
                                            </w:rPr>
                                            <m:t>WACC</m:t>
                                          </m:r>
                                        </m:e>
                                        <m:sub>
                                          <m:r>
                                            <w:rPr>
                                              <w:rFonts w:ascii="Cambria Math" w:hAnsi="Cambria Math" w:cstheme="minorBidi"/>
                                              <w:color w:val="000000" w:themeColor="text1"/>
                                              <w:sz w:val="22"/>
                                              <w:szCs w:val="22"/>
                                              <w:lang w:val="es-ES"/>
                                            </w:rPr>
                                            <m:t>Contable</m:t>
                                          </m:r>
                                        </m:sub>
                                      </m:sSub>
                                    </m:oMath>
                                  </m:oMathPara>
                                </w:p>
                              </w:txbxContent>
                            </v:textbox>
                          </v:shape>
                        </w:pict>
                      </mc:Fallback>
                    </mc:AlternateContent>
                  </w:r>
                  <w:r w:rsidRPr="00EA3CDD">
                    <w:rPr>
                      <w:rFonts w:ascii="Calibri" w:eastAsia="Times New Roman" w:hAnsi="Calibri" w:cs="Times New Roman"/>
                      <w:color w:val="000000"/>
                      <w:lang w:eastAsia="es-PE"/>
                    </w:rPr>
                    <w:t> </w:t>
                  </w:r>
                </w:p>
              </w:tc>
            </w:tr>
          </w:tbl>
          <w:p w:rsidR="0088013F" w:rsidRPr="00EA3CDD" w:rsidRDefault="0088013F" w:rsidP="00687DF4">
            <w:pPr>
              <w:spacing w:after="0" w:line="240" w:lineRule="auto"/>
              <w:rPr>
                <w:rFonts w:ascii="Calibri" w:eastAsia="Times New Roman" w:hAnsi="Calibri" w:cs="Times New Roman"/>
                <w:color w:val="000000"/>
                <w:lang w:eastAsia="es-PE"/>
              </w:rPr>
            </w:pPr>
          </w:p>
        </w:tc>
        <w:tc>
          <w:tcPr>
            <w:tcW w:w="194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p>
          <w:tbl>
            <w:tblPr>
              <w:tblW w:w="0" w:type="auto"/>
              <w:tblCellSpacing w:w="0" w:type="dxa"/>
              <w:tblCellMar>
                <w:left w:w="0" w:type="dxa"/>
                <w:right w:w="0" w:type="dxa"/>
              </w:tblCellMar>
              <w:tblLook w:val="04A0" w:firstRow="1" w:lastRow="0" w:firstColumn="1" w:lastColumn="0" w:noHBand="0" w:noVBand="1"/>
            </w:tblPr>
            <w:tblGrid>
              <w:gridCol w:w="1800"/>
            </w:tblGrid>
            <w:tr w:rsidR="0088013F" w:rsidRPr="00EA3CDD" w:rsidTr="00687DF4">
              <w:trPr>
                <w:trHeight w:val="615"/>
                <w:tblCellSpacing w:w="0" w:type="dxa"/>
              </w:trPr>
              <w:tc>
                <w:tcPr>
                  <w:tcW w:w="1800" w:type="dxa"/>
                  <w:tcBorders>
                    <w:top w:val="nil"/>
                    <w:left w:val="nil"/>
                    <w:bottom w:val="single" w:sz="8" w:space="0" w:color="auto"/>
                    <w:right w:val="nil"/>
                  </w:tcBorders>
                  <w:shd w:val="clear" w:color="000000" w:fill="BFBFBF"/>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noProof/>
                      <w:color w:val="000000"/>
                      <w:lang w:eastAsia="es-PE"/>
                    </w:rPr>
                    <mc:AlternateContent>
                      <mc:Choice Requires="wps">
                        <w:drawing>
                          <wp:anchor distT="0" distB="0" distL="114300" distR="114300" simplePos="0" relativeHeight="251670528" behindDoc="0" locked="0" layoutInCell="1" allowOverlap="1" wp14:anchorId="12DFF71F" wp14:editId="3518134A">
                            <wp:simplePos x="0" y="0"/>
                            <wp:positionH relativeFrom="column">
                              <wp:posOffset>179070</wp:posOffset>
                            </wp:positionH>
                            <wp:positionV relativeFrom="paragraph">
                              <wp:posOffset>-95250</wp:posOffset>
                            </wp:positionV>
                            <wp:extent cx="838200" cy="16192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832792" cy="1654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87DF4" w:rsidRDefault="00471F62" w:rsidP="0088013F">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lang w:val="es-ES"/>
                                                  </w:rPr>
                                                  <m:t>WACC</m:t>
                                                </m:r>
                                              </m:e>
                                              <m:sub>
                                                <m:r>
                                                  <w:rPr>
                                                    <w:rFonts w:ascii="Cambria Math" w:hAnsi="Cambria Math" w:cstheme="minorBidi"/>
                                                    <w:color w:val="000000" w:themeColor="text1"/>
                                                    <w:sz w:val="22"/>
                                                    <w:szCs w:val="22"/>
                                                    <w:lang w:val="es-ES"/>
                                                  </w:rPr>
                                                  <m:t>Bursátil</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12DFF71F" id="Cuadro de texto 15" o:spid="_x0000_s1032" type="#_x0000_t202" style="position:absolute;margin-left:14.1pt;margin-top:-7.5pt;width:66pt;height:12.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" filled="f" stroked="f">
                            <v:textbox style="mso-fit-shape-to-text:t" inset="0,0,0,0">
                              <w:txbxContent>
                                <w:p w:rsidR="00687DF4" w:rsidRDefault="00D23EAD" w:rsidP="0088013F">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lang w:val="es-ES"/>
                                            </w:rPr>
                                            <m:t>WACC</m:t>
                                          </m:r>
                                        </m:e>
                                        <m:sub>
                                          <m:r>
                                            <w:rPr>
                                              <w:rFonts w:ascii="Cambria Math" w:hAnsi="Cambria Math" w:cstheme="minorBidi"/>
                                              <w:color w:val="000000" w:themeColor="text1"/>
                                              <w:sz w:val="22"/>
                                              <w:szCs w:val="22"/>
                                              <w:lang w:val="es-ES"/>
                                            </w:rPr>
                                            <m:t>Bursátil</m:t>
                                          </m:r>
                                        </m:sub>
                                      </m:sSub>
                                    </m:oMath>
                                  </m:oMathPara>
                                </w:p>
                              </w:txbxContent>
                            </v:textbox>
                          </v:shape>
                        </w:pict>
                      </mc:Fallback>
                    </mc:AlternateContent>
                  </w:r>
                  <w:r w:rsidRPr="00EA3CDD">
                    <w:rPr>
                      <w:rFonts w:ascii="Calibri" w:eastAsia="Times New Roman" w:hAnsi="Calibri" w:cs="Times New Roman"/>
                      <w:color w:val="000000"/>
                      <w:lang w:eastAsia="es-PE"/>
                    </w:rPr>
                    <w:t> </w:t>
                  </w:r>
                </w:p>
              </w:tc>
            </w:tr>
          </w:tbl>
          <w:p w:rsidR="0088013F" w:rsidRPr="00EA3CDD" w:rsidRDefault="0088013F" w:rsidP="00687DF4">
            <w:pPr>
              <w:spacing w:after="0" w:line="240" w:lineRule="auto"/>
              <w:rPr>
                <w:rFonts w:ascii="Calibri" w:eastAsia="Times New Roman" w:hAnsi="Calibri" w:cs="Times New Roman"/>
                <w:color w:val="000000"/>
                <w:lang w:eastAsia="es-PE"/>
              </w:rPr>
            </w:pPr>
          </w:p>
        </w:tc>
      </w:tr>
      <w:tr w:rsidR="0088013F" w:rsidRPr="00EA3CDD" w:rsidTr="00687DF4">
        <w:trPr>
          <w:trHeight w:val="315"/>
        </w:trPr>
        <w:tc>
          <w:tcPr>
            <w:tcW w:w="3040" w:type="dxa"/>
            <w:tcBorders>
              <w:top w:val="nil"/>
              <w:left w:val="nil"/>
              <w:bottom w:val="single" w:sz="8" w:space="0" w:color="auto"/>
              <w:right w:val="nil"/>
            </w:tcBorders>
            <w:shd w:val="clear" w:color="000000" w:fill="757171"/>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r w:rsidRPr="00EA3CDD">
              <w:rPr>
                <w:rFonts w:ascii="Calibri" w:eastAsia="Times New Roman" w:hAnsi="Calibri" w:cs="Times New Roman"/>
                <w:b/>
                <w:bCs/>
                <w:color w:val="FFFFFF"/>
                <w:lang w:eastAsia="es-PE"/>
              </w:rPr>
              <w:t>ELECTRÓNICA</w:t>
            </w:r>
          </w:p>
        </w:tc>
        <w:tc>
          <w:tcPr>
            <w:tcW w:w="192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p>
        </w:tc>
        <w:tc>
          <w:tcPr>
            <w:tcW w:w="208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86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94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r>
      <w:tr w:rsidR="0088013F" w:rsidRPr="00EA3CDD" w:rsidTr="00687DF4">
        <w:trPr>
          <w:trHeight w:val="300"/>
        </w:trPr>
        <w:tc>
          <w:tcPr>
            <w:tcW w:w="3040" w:type="dxa"/>
            <w:tcBorders>
              <w:top w:val="nil"/>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xml:space="preserve">Cisco </w:t>
            </w:r>
            <w:proofErr w:type="spellStart"/>
            <w:r w:rsidRPr="00EA3CDD">
              <w:rPr>
                <w:rFonts w:ascii="Calibri" w:eastAsia="Times New Roman" w:hAnsi="Calibri" w:cs="Times New Roman"/>
                <w:color w:val="000000"/>
                <w:lang w:eastAsia="es-PE"/>
              </w:rPr>
              <w:t>Systems</w:t>
            </w:r>
            <w:proofErr w:type="spellEnd"/>
            <w:r w:rsidRPr="00EA3CDD">
              <w:rPr>
                <w:rFonts w:ascii="Calibri" w:eastAsia="Times New Roman" w:hAnsi="Calibri" w:cs="Times New Roman"/>
                <w:color w:val="000000"/>
                <w:lang w:eastAsia="es-PE"/>
              </w:rPr>
              <w:t>, Inc.</w:t>
            </w:r>
          </w:p>
        </w:tc>
        <w:tc>
          <w:tcPr>
            <w:tcW w:w="1920" w:type="dxa"/>
            <w:tcBorders>
              <w:top w:val="nil"/>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200672</w:t>
            </w:r>
          </w:p>
        </w:tc>
        <w:tc>
          <w:tcPr>
            <w:tcW w:w="2080" w:type="dxa"/>
            <w:tcBorders>
              <w:top w:val="nil"/>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w:t>
            </w:r>
          </w:p>
        </w:tc>
        <w:tc>
          <w:tcPr>
            <w:tcW w:w="1860" w:type="dxa"/>
            <w:tcBorders>
              <w:top w:val="nil"/>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6.86%</w:t>
            </w:r>
          </w:p>
        </w:tc>
        <w:tc>
          <w:tcPr>
            <w:tcW w:w="1940" w:type="dxa"/>
            <w:tcBorders>
              <w:top w:val="nil"/>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9.44%</w:t>
            </w:r>
          </w:p>
        </w:tc>
      </w:tr>
      <w:tr w:rsidR="0088013F" w:rsidRPr="00EA3CDD" w:rsidTr="00687DF4">
        <w:trPr>
          <w:trHeight w:val="300"/>
        </w:trPr>
        <w:tc>
          <w:tcPr>
            <w:tcW w:w="304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p>
        </w:tc>
        <w:tc>
          <w:tcPr>
            <w:tcW w:w="192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208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86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94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jc w:val="center"/>
              <w:rPr>
                <w:rFonts w:ascii="Times New Roman" w:eastAsia="Times New Roman" w:hAnsi="Times New Roman" w:cs="Times New Roman"/>
                <w:sz w:val="20"/>
                <w:szCs w:val="20"/>
                <w:lang w:eastAsia="es-PE"/>
              </w:rPr>
            </w:pPr>
          </w:p>
        </w:tc>
      </w:tr>
      <w:tr w:rsidR="0088013F" w:rsidRPr="00EA3CDD" w:rsidTr="00687DF4">
        <w:trPr>
          <w:trHeight w:val="315"/>
        </w:trPr>
        <w:tc>
          <w:tcPr>
            <w:tcW w:w="3040" w:type="dxa"/>
            <w:tcBorders>
              <w:top w:val="nil"/>
              <w:left w:val="nil"/>
              <w:bottom w:val="single" w:sz="8" w:space="0" w:color="auto"/>
              <w:right w:val="nil"/>
            </w:tcBorders>
            <w:shd w:val="clear" w:color="000000" w:fill="757171"/>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r w:rsidRPr="00EA3CDD">
              <w:rPr>
                <w:rFonts w:ascii="Calibri" w:eastAsia="Times New Roman" w:hAnsi="Calibri" w:cs="Times New Roman"/>
                <w:b/>
                <w:bCs/>
                <w:color w:val="FFFFFF"/>
                <w:lang w:eastAsia="es-PE"/>
              </w:rPr>
              <w:t>ALIMENTOS</w:t>
            </w:r>
          </w:p>
        </w:tc>
        <w:tc>
          <w:tcPr>
            <w:tcW w:w="192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p>
        </w:tc>
        <w:tc>
          <w:tcPr>
            <w:tcW w:w="208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86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94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jc w:val="center"/>
              <w:rPr>
                <w:rFonts w:ascii="Times New Roman" w:eastAsia="Times New Roman" w:hAnsi="Times New Roman" w:cs="Times New Roman"/>
                <w:sz w:val="20"/>
                <w:szCs w:val="20"/>
                <w:lang w:eastAsia="es-PE"/>
              </w:rPr>
            </w:pPr>
          </w:p>
        </w:tc>
      </w:tr>
      <w:tr w:rsidR="0088013F" w:rsidRPr="00EA3CDD" w:rsidTr="00687DF4">
        <w:trPr>
          <w:trHeight w:val="300"/>
        </w:trPr>
        <w:tc>
          <w:tcPr>
            <w:tcW w:w="3040" w:type="dxa"/>
            <w:tcBorders>
              <w:top w:val="nil"/>
              <w:left w:val="nil"/>
              <w:bottom w:val="nil"/>
              <w:right w:val="nil"/>
            </w:tcBorders>
            <w:shd w:val="clear" w:color="000000" w:fill="F2F2F2"/>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xml:space="preserve">Mc </w:t>
            </w:r>
            <w:proofErr w:type="spellStart"/>
            <w:r w:rsidRPr="00EA3CDD">
              <w:rPr>
                <w:rFonts w:ascii="Calibri" w:eastAsia="Times New Roman" w:hAnsi="Calibri" w:cs="Times New Roman"/>
                <w:color w:val="000000"/>
                <w:lang w:eastAsia="es-PE"/>
              </w:rPr>
              <w:t>Donald's</w:t>
            </w:r>
            <w:proofErr w:type="spellEnd"/>
            <w:r w:rsidRPr="00EA3CDD">
              <w:rPr>
                <w:rFonts w:ascii="Calibri" w:eastAsia="Times New Roman" w:hAnsi="Calibri" w:cs="Times New Roman"/>
                <w:color w:val="000000"/>
                <w:lang w:eastAsia="es-PE"/>
              </w:rPr>
              <w:t xml:space="preserve"> Company</w:t>
            </w:r>
          </w:p>
        </w:tc>
        <w:tc>
          <w:tcPr>
            <w:tcW w:w="1920" w:type="dxa"/>
            <w:tcBorders>
              <w:top w:val="nil"/>
              <w:left w:val="nil"/>
              <w:bottom w:val="nil"/>
              <w:right w:val="nil"/>
            </w:tcBorders>
            <w:shd w:val="clear" w:color="000000" w:fill="F2F2F2"/>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125581</w:t>
            </w:r>
          </w:p>
        </w:tc>
        <w:tc>
          <w:tcPr>
            <w:tcW w:w="2080" w:type="dxa"/>
            <w:tcBorders>
              <w:top w:val="nil"/>
              <w:left w:val="nil"/>
              <w:bottom w:val="nil"/>
              <w:right w:val="nil"/>
            </w:tcBorders>
            <w:shd w:val="clear" w:color="000000" w:fill="F2F2F2"/>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w:t>
            </w:r>
          </w:p>
        </w:tc>
        <w:tc>
          <w:tcPr>
            <w:tcW w:w="1860" w:type="dxa"/>
            <w:tcBorders>
              <w:top w:val="nil"/>
              <w:left w:val="nil"/>
              <w:bottom w:val="nil"/>
              <w:right w:val="nil"/>
            </w:tcBorders>
            <w:shd w:val="clear" w:color="000000" w:fill="F2F2F2"/>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0.96%</w:t>
            </w:r>
          </w:p>
        </w:tc>
        <w:tc>
          <w:tcPr>
            <w:tcW w:w="1940" w:type="dxa"/>
            <w:tcBorders>
              <w:top w:val="nil"/>
              <w:left w:val="nil"/>
              <w:bottom w:val="nil"/>
              <w:right w:val="nil"/>
            </w:tcBorders>
            <w:shd w:val="clear" w:color="000000" w:fill="F2F2F2"/>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6.70%</w:t>
            </w:r>
          </w:p>
        </w:tc>
      </w:tr>
      <w:tr w:rsidR="0088013F" w:rsidRPr="00EA3CDD" w:rsidTr="00687DF4">
        <w:trPr>
          <w:trHeight w:val="300"/>
        </w:trPr>
        <w:tc>
          <w:tcPr>
            <w:tcW w:w="3040" w:type="dxa"/>
            <w:tcBorders>
              <w:top w:val="single" w:sz="4" w:space="0" w:color="auto"/>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proofErr w:type="spellStart"/>
            <w:r w:rsidRPr="00EA3CDD">
              <w:rPr>
                <w:rFonts w:ascii="Calibri" w:eastAsia="Times New Roman" w:hAnsi="Calibri" w:cs="Times New Roman"/>
                <w:color w:val="000000"/>
                <w:lang w:eastAsia="es-PE"/>
              </w:rPr>
              <w:t>The</w:t>
            </w:r>
            <w:proofErr w:type="spellEnd"/>
            <w:r w:rsidRPr="00EA3CDD">
              <w:rPr>
                <w:rFonts w:ascii="Calibri" w:eastAsia="Times New Roman" w:hAnsi="Calibri" w:cs="Times New Roman"/>
                <w:color w:val="000000"/>
                <w:lang w:eastAsia="es-PE"/>
              </w:rPr>
              <w:t xml:space="preserve"> Coca-Cola Company</w:t>
            </w:r>
          </w:p>
        </w:tc>
        <w:tc>
          <w:tcPr>
            <w:tcW w:w="192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188934</w:t>
            </w:r>
          </w:p>
        </w:tc>
        <w:tc>
          <w:tcPr>
            <w:tcW w:w="2080" w:type="dxa"/>
            <w:tcBorders>
              <w:top w:val="single" w:sz="4" w:space="0" w:color="auto"/>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w:t>
            </w:r>
          </w:p>
        </w:tc>
        <w:tc>
          <w:tcPr>
            <w:tcW w:w="186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2.76%</w:t>
            </w:r>
          </w:p>
        </w:tc>
        <w:tc>
          <w:tcPr>
            <w:tcW w:w="194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5.55%</w:t>
            </w:r>
          </w:p>
        </w:tc>
      </w:tr>
      <w:tr w:rsidR="0088013F" w:rsidRPr="00EA3CDD" w:rsidTr="00687DF4">
        <w:trPr>
          <w:trHeight w:val="300"/>
        </w:trPr>
        <w:tc>
          <w:tcPr>
            <w:tcW w:w="304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p>
        </w:tc>
        <w:tc>
          <w:tcPr>
            <w:tcW w:w="192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208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86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94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jc w:val="center"/>
              <w:rPr>
                <w:rFonts w:ascii="Times New Roman" w:eastAsia="Times New Roman" w:hAnsi="Times New Roman" w:cs="Times New Roman"/>
                <w:sz w:val="20"/>
                <w:szCs w:val="20"/>
                <w:lang w:eastAsia="es-PE"/>
              </w:rPr>
            </w:pPr>
          </w:p>
        </w:tc>
      </w:tr>
      <w:tr w:rsidR="0088013F" w:rsidRPr="00EA3CDD" w:rsidTr="00687DF4">
        <w:trPr>
          <w:trHeight w:val="315"/>
        </w:trPr>
        <w:tc>
          <w:tcPr>
            <w:tcW w:w="3040" w:type="dxa"/>
            <w:tcBorders>
              <w:top w:val="nil"/>
              <w:left w:val="nil"/>
              <w:bottom w:val="single" w:sz="8" w:space="0" w:color="auto"/>
              <w:right w:val="nil"/>
            </w:tcBorders>
            <w:shd w:val="clear" w:color="000000" w:fill="757171"/>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r w:rsidRPr="00EA3CDD">
              <w:rPr>
                <w:rFonts w:ascii="Calibri" w:eastAsia="Times New Roman" w:hAnsi="Calibri" w:cs="Times New Roman"/>
                <w:b/>
                <w:bCs/>
                <w:color w:val="FFFFFF"/>
                <w:lang w:eastAsia="es-PE"/>
              </w:rPr>
              <w:t>QUÍMICAS</w:t>
            </w:r>
          </w:p>
        </w:tc>
        <w:tc>
          <w:tcPr>
            <w:tcW w:w="192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Calibri" w:eastAsia="Times New Roman" w:hAnsi="Calibri" w:cs="Times New Roman"/>
                <w:b/>
                <w:bCs/>
                <w:color w:val="FFFFFF"/>
                <w:lang w:eastAsia="es-PE"/>
              </w:rPr>
            </w:pPr>
          </w:p>
        </w:tc>
        <w:tc>
          <w:tcPr>
            <w:tcW w:w="2080" w:type="dxa"/>
            <w:tcBorders>
              <w:top w:val="nil"/>
              <w:left w:val="nil"/>
              <w:bottom w:val="nil"/>
              <w:right w:val="nil"/>
            </w:tcBorders>
            <w:shd w:val="clear" w:color="auto" w:fill="auto"/>
            <w:noWrap/>
            <w:vAlign w:val="bottom"/>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86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rPr>
                <w:rFonts w:ascii="Times New Roman" w:eastAsia="Times New Roman" w:hAnsi="Times New Roman" w:cs="Times New Roman"/>
                <w:sz w:val="20"/>
                <w:szCs w:val="20"/>
                <w:lang w:eastAsia="es-PE"/>
              </w:rPr>
            </w:pPr>
          </w:p>
        </w:tc>
        <w:tc>
          <w:tcPr>
            <w:tcW w:w="1940" w:type="dxa"/>
            <w:tcBorders>
              <w:top w:val="nil"/>
              <w:left w:val="nil"/>
              <w:bottom w:val="nil"/>
              <w:right w:val="nil"/>
            </w:tcBorders>
            <w:shd w:val="clear" w:color="auto" w:fill="auto"/>
            <w:noWrap/>
            <w:vAlign w:val="center"/>
            <w:hideMark/>
          </w:tcPr>
          <w:p w:rsidR="0088013F" w:rsidRPr="00EA3CDD" w:rsidRDefault="0088013F" w:rsidP="00687DF4">
            <w:pPr>
              <w:spacing w:after="0" w:line="240" w:lineRule="auto"/>
              <w:jc w:val="center"/>
              <w:rPr>
                <w:rFonts w:ascii="Times New Roman" w:eastAsia="Times New Roman" w:hAnsi="Times New Roman" w:cs="Times New Roman"/>
                <w:sz w:val="20"/>
                <w:szCs w:val="20"/>
                <w:lang w:eastAsia="es-PE"/>
              </w:rPr>
            </w:pPr>
          </w:p>
        </w:tc>
      </w:tr>
      <w:tr w:rsidR="0088013F" w:rsidRPr="00EA3CDD" w:rsidTr="00687DF4">
        <w:trPr>
          <w:trHeight w:val="300"/>
        </w:trPr>
        <w:tc>
          <w:tcPr>
            <w:tcW w:w="3040" w:type="dxa"/>
            <w:tcBorders>
              <w:top w:val="single" w:sz="4" w:space="0" w:color="auto"/>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xml:space="preserve">Johnson &amp; Johnson </w:t>
            </w:r>
          </w:p>
        </w:tc>
        <w:tc>
          <w:tcPr>
            <w:tcW w:w="192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338085</w:t>
            </w:r>
          </w:p>
        </w:tc>
        <w:tc>
          <w:tcPr>
            <w:tcW w:w="2080" w:type="dxa"/>
            <w:tcBorders>
              <w:top w:val="single" w:sz="4" w:space="0" w:color="auto"/>
              <w:left w:val="nil"/>
              <w:bottom w:val="single" w:sz="4" w:space="0" w:color="auto"/>
              <w:right w:val="nil"/>
            </w:tcBorders>
            <w:shd w:val="clear" w:color="000000" w:fill="D9D9D9"/>
            <w:noWrap/>
            <w:vAlign w:val="bottom"/>
            <w:hideMark/>
          </w:tcPr>
          <w:p w:rsidR="0088013F" w:rsidRPr="00EA3CDD" w:rsidRDefault="0088013F" w:rsidP="00687DF4">
            <w:pPr>
              <w:spacing w:after="0" w:line="240" w:lineRule="auto"/>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 </w:t>
            </w:r>
          </w:p>
        </w:tc>
        <w:tc>
          <w:tcPr>
            <w:tcW w:w="186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3.69%</w:t>
            </w:r>
          </w:p>
        </w:tc>
        <w:tc>
          <w:tcPr>
            <w:tcW w:w="1940" w:type="dxa"/>
            <w:tcBorders>
              <w:top w:val="single" w:sz="4" w:space="0" w:color="auto"/>
              <w:left w:val="nil"/>
              <w:bottom w:val="single" w:sz="4" w:space="0" w:color="auto"/>
              <w:right w:val="nil"/>
            </w:tcBorders>
            <w:shd w:val="clear" w:color="000000" w:fill="D9D9D9"/>
            <w:noWrap/>
            <w:vAlign w:val="center"/>
            <w:hideMark/>
          </w:tcPr>
          <w:p w:rsidR="0088013F" w:rsidRPr="00EA3CDD" w:rsidRDefault="0088013F" w:rsidP="00687DF4">
            <w:pPr>
              <w:spacing w:after="0" w:line="240" w:lineRule="auto"/>
              <w:jc w:val="center"/>
              <w:rPr>
                <w:rFonts w:ascii="Calibri" w:eastAsia="Times New Roman" w:hAnsi="Calibri" w:cs="Times New Roman"/>
                <w:color w:val="000000"/>
                <w:lang w:eastAsia="es-PE"/>
              </w:rPr>
            </w:pPr>
            <w:r w:rsidRPr="00EA3CDD">
              <w:rPr>
                <w:rFonts w:ascii="Calibri" w:eastAsia="Times New Roman" w:hAnsi="Calibri" w:cs="Times New Roman"/>
                <w:color w:val="000000"/>
                <w:lang w:eastAsia="es-PE"/>
              </w:rPr>
              <w:t>5.84%</w:t>
            </w:r>
          </w:p>
        </w:tc>
      </w:tr>
    </w:tbl>
    <w:p w:rsidR="0088013F" w:rsidRPr="00F46C50" w:rsidRDefault="0088013F" w:rsidP="0088013F">
      <w:pPr>
        <w:ind w:firstLine="708"/>
      </w:pPr>
    </w:p>
    <w:p w:rsidR="00D60A09" w:rsidRPr="0088013F" w:rsidRDefault="00D60A09" w:rsidP="0088013F">
      <w:bookmarkStart w:id="0" w:name="_GoBack"/>
      <w:bookmarkEnd w:id="0"/>
    </w:p>
    <w:sectPr w:rsidR="00D60A09" w:rsidRPr="0088013F">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62" w:rsidRDefault="00471F62" w:rsidP="0088013F">
      <w:pPr>
        <w:spacing w:after="0" w:line="240" w:lineRule="auto"/>
      </w:pPr>
      <w:r>
        <w:separator/>
      </w:r>
    </w:p>
  </w:endnote>
  <w:endnote w:type="continuationSeparator" w:id="0">
    <w:p w:rsidR="00471F62" w:rsidRDefault="00471F62" w:rsidP="008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770166"/>
      <w:docPartObj>
        <w:docPartGallery w:val="Page Numbers (Bottom of Page)"/>
        <w:docPartUnique/>
      </w:docPartObj>
    </w:sdtPr>
    <w:sdtEndPr/>
    <w:sdtContent>
      <w:p w:rsidR="00DB01F6" w:rsidRDefault="00DB01F6">
        <w:pPr>
          <w:pStyle w:val="Piedepgina"/>
          <w:jc w:val="right"/>
        </w:pPr>
        <w:r>
          <w:fldChar w:fldCharType="begin"/>
        </w:r>
        <w:r>
          <w:instrText>PAGE   \* MERGEFORMAT</w:instrText>
        </w:r>
        <w:r>
          <w:fldChar w:fldCharType="separate"/>
        </w:r>
        <w:r w:rsidR="0071298E" w:rsidRPr="0071298E">
          <w:rPr>
            <w:noProof/>
            <w:lang w:val="es-ES"/>
          </w:rPr>
          <w:t>8</w:t>
        </w:r>
        <w:r>
          <w:fldChar w:fldCharType="end"/>
        </w:r>
      </w:p>
    </w:sdtContent>
  </w:sdt>
  <w:p w:rsidR="00DB01F6" w:rsidRDefault="00DB0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62" w:rsidRDefault="00471F62" w:rsidP="0088013F">
      <w:pPr>
        <w:spacing w:after="0" w:line="240" w:lineRule="auto"/>
      </w:pPr>
      <w:r>
        <w:separator/>
      </w:r>
    </w:p>
  </w:footnote>
  <w:footnote w:type="continuationSeparator" w:id="0">
    <w:p w:rsidR="00471F62" w:rsidRDefault="00471F62" w:rsidP="0088013F">
      <w:pPr>
        <w:spacing w:after="0" w:line="240" w:lineRule="auto"/>
      </w:pPr>
      <w:r>
        <w:continuationSeparator/>
      </w:r>
    </w:p>
  </w:footnote>
  <w:footnote w:id="1">
    <w:p w:rsidR="00687DF4" w:rsidRPr="00E117F9" w:rsidRDefault="00687DF4" w:rsidP="0088013F">
      <w:pPr>
        <w:pStyle w:val="Textonotapie"/>
        <w:rPr>
          <w:lang w:val="es-ES"/>
        </w:rPr>
      </w:pPr>
      <w:r>
        <w:rPr>
          <w:rStyle w:val="Refdenotaalpie"/>
        </w:rPr>
        <w:footnoteRef/>
      </w:r>
      <w:r>
        <w:t xml:space="preserve"> </w:t>
      </w:r>
      <w:r>
        <w:rPr>
          <w:i/>
        </w:rPr>
        <w:t>A</w:t>
      </w:r>
      <w:r w:rsidRPr="00E117F9">
        <w:rPr>
          <w:i/>
        </w:rPr>
        <w:t>breviado DJIA o Dow-30, informalmente Dow Jones o Dow</w:t>
      </w:r>
      <w:r>
        <w:rPr>
          <w:i/>
        </w:rPr>
        <w:t>. M</w:t>
      </w:r>
      <w:r w:rsidRPr="00E117F9">
        <w:rPr>
          <w:i/>
        </w:rPr>
        <w:t>ide el desempeño de las 30 mayores sociedades anónimas que cotizan en el mercado bursátil de Estados Unidos</w:t>
      </w:r>
      <w:r w:rsidRPr="00E117F9">
        <w:t>.</w:t>
      </w:r>
    </w:p>
  </w:footnote>
  <w:footnote w:id="2">
    <w:p w:rsidR="00687DF4" w:rsidRPr="00E117F9" w:rsidRDefault="00687DF4" w:rsidP="00687DF4">
      <w:pPr>
        <w:pStyle w:val="Textonotapie"/>
        <w:rPr>
          <w:lang w:val="es-ES"/>
        </w:rPr>
      </w:pPr>
      <w:r>
        <w:rPr>
          <w:rStyle w:val="Refdenotaalpie"/>
        </w:rPr>
        <w:footnoteRef/>
      </w:r>
      <w:r>
        <w:t xml:space="preserve"> </w:t>
      </w:r>
      <w:r>
        <w:rPr>
          <w:i/>
        </w:rPr>
        <w:t>A</w:t>
      </w:r>
      <w:r w:rsidRPr="00E117F9">
        <w:rPr>
          <w:i/>
        </w:rPr>
        <w:t>breviado DJIA o Dow-30, informalmente Dow Jones o Dow</w:t>
      </w:r>
      <w:r>
        <w:rPr>
          <w:i/>
        </w:rPr>
        <w:t>. M</w:t>
      </w:r>
      <w:r w:rsidRPr="00E117F9">
        <w:rPr>
          <w:i/>
        </w:rPr>
        <w:t>ide el desempeño de las 30 mayores sociedades anónimas que cotizan en el mercado bursátil de Estados Unidos</w:t>
      </w:r>
      <w:r w:rsidRPr="00E117F9">
        <w:t>.</w:t>
      </w:r>
    </w:p>
  </w:footnote>
  <w:footnote w:id="3">
    <w:p w:rsidR="00B353B0" w:rsidRPr="00E117F9" w:rsidRDefault="00B353B0" w:rsidP="00B353B0">
      <w:pPr>
        <w:pStyle w:val="Textonotapie"/>
        <w:rPr>
          <w:lang w:val="es-ES"/>
        </w:rPr>
      </w:pPr>
      <w:r>
        <w:rPr>
          <w:rStyle w:val="Refdenotaalpie"/>
        </w:rPr>
        <w:footnoteRef/>
      </w:r>
      <w:r>
        <w:t xml:space="preserve"> </w:t>
      </w:r>
      <w:r>
        <w:rPr>
          <w:i/>
        </w:rPr>
        <w:t>A</w:t>
      </w:r>
      <w:r w:rsidRPr="00E117F9">
        <w:rPr>
          <w:i/>
        </w:rPr>
        <w:t>breviado DJIA o Dow-30, informalmente Dow Jones o Dow</w:t>
      </w:r>
      <w:r>
        <w:rPr>
          <w:i/>
        </w:rPr>
        <w:t>. M</w:t>
      </w:r>
      <w:r w:rsidRPr="00E117F9">
        <w:rPr>
          <w:i/>
        </w:rPr>
        <w:t>ide el desempeño de las 30 mayores sociedades anónimas que cotizan en el mercado bursátil de Estados Unidos</w:t>
      </w:r>
      <w:r w:rsidRPr="00E117F9">
        <w:t>.</w:t>
      </w:r>
    </w:p>
  </w:footnote>
  <w:footnote w:id="4">
    <w:p w:rsidR="0073112B" w:rsidRPr="00E117F9" w:rsidRDefault="0073112B" w:rsidP="0073112B">
      <w:pPr>
        <w:pStyle w:val="Textonotapie"/>
        <w:rPr>
          <w:lang w:val="es-ES"/>
        </w:rPr>
      </w:pPr>
      <w:r>
        <w:rPr>
          <w:rStyle w:val="Refdenotaalpie"/>
        </w:rPr>
        <w:footnoteRef/>
      </w:r>
      <w:r>
        <w:t xml:space="preserve"> </w:t>
      </w:r>
      <w:r>
        <w:rPr>
          <w:i/>
        </w:rPr>
        <w:t>A</w:t>
      </w:r>
      <w:r w:rsidRPr="00E117F9">
        <w:rPr>
          <w:i/>
        </w:rPr>
        <w:t>breviado DJIA o Dow-30, informalmente Dow Jones o Dow</w:t>
      </w:r>
      <w:r>
        <w:rPr>
          <w:i/>
        </w:rPr>
        <w:t>. M</w:t>
      </w:r>
      <w:r w:rsidRPr="00E117F9">
        <w:rPr>
          <w:i/>
        </w:rPr>
        <w:t>ide el desempeño de las 30 mayores sociedades anónimas que cotizan en el mercado bursátil de Estados Unidos</w:t>
      </w:r>
      <w:r w:rsidRPr="00E117F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68B6"/>
    <w:multiLevelType w:val="hybridMultilevel"/>
    <w:tmpl w:val="B686D7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9674563"/>
    <w:multiLevelType w:val="hybridMultilevel"/>
    <w:tmpl w:val="F5B264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B1B1BC6"/>
    <w:multiLevelType w:val="hybridMultilevel"/>
    <w:tmpl w:val="F5B264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21818A4"/>
    <w:multiLevelType w:val="hybridMultilevel"/>
    <w:tmpl w:val="402C36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F7D4785"/>
    <w:multiLevelType w:val="hybridMultilevel"/>
    <w:tmpl w:val="2A461B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1B43D78"/>
    <w:multiLevelType w:val="hybridMultilevel"/>
    <w:tmpl w:val="8FAAEB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5921B97"/>
    <w:multiLevelType w:val="hybridMultilevel"/>
    <w:tmpl w:val="3D3ED8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68F5A1D"/>
    <w:multiLevelType w:val="hybridMultilevel"/>
    <w:tmpl w:val="8FAAEB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2F9090D"/>
    <w:multiLevelType w:val="hybridMultilevel"/>
    <w:tmpl w:val="3D3ED8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4F"/>
    <w:rsid w:val="002B0C33"/>
    <w:rsid w:val="003F604C"/>
    <w:rsid w:val="003F7DA7"/>
    <w:rsid w:val="00400225"/>
    <w:rsid w:val="00471F62"/>
    <w:rsid w:val="004C1FE0"/>
    <w:rsid w:val="004F3162"/>
    <w:rsid w:val="00506E0E"/>
    <w:rsid w:val="0061502A"/>
    <w:rsid w:val="00641D8F"/>
    <w:rsid w:val="00645416"/>
    <w:rsid w:val="00687DF4"/>
    <w:rsid w:val="006912D4"/>
    <w:rsid w:val="0071298E"/>
    <w:rsid w:val="0073112B"/>
    <w:rsid w:val="00753736"/>
    <w:rsid w:val="00782911"/>
    <w:rsid w:val="007F144F"/>
    <w:rsid w:val="008753B5"/>
    <w:rsid w:val="0088013F"/>
    <w:rsid w:val="008D2D73"/>
    <w:rsid w:val="00924D4E"/>
    <w:rsid w:val="00986AE8"/>
    <w:rsid w:val="009879E1"/>
    <w:rsid w:val="009D7077"/>
    <w:rsid w:val="00B353B0"/>
    <w:rsid w:val="00B57C01"/>
    <w:rsid w:val="00BB7009"/>
    <w:rsid w:val="00CD73A0"/>
    <w:rsid w:val="00CE36C3"/>
    <w:rsid w:val="00D068EB"/>
    <w:rsid w:val="00D23EAD"/>
    <w:rsid w:val="00D60A09"/>
    <w:rsid w:val="00D70EEB"/>
    <w:rsid w:val="00DB01F6"/>
    <w:rsid w:val="00DB4545"/>
    <w:rsid w:val="00E13A7F"/>
    <w:rsid w:val="00E76764"/>
    <w:rsid w:val="00ED26E0"/>
    <w:rsid w:val="00EF2AC5"/>
    <w:rsid w:val="00F05428"/>
    <w:rsid w:val="00F07A51"/>
    <w:rsid w:val="00F15BDA"/>
    <w:rsid w:val="00F93B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BC0BD-ADCA-4DFF-9659-59B088E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013F"/>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Textonotapie">
    <w:name w:val="footnote text"/>
    <w:basedOn w:val="Normal"/>
    <w:link w:val="TextonotapieCar"/>
    <w:uiPriority w:val="99"/>
    <w:semiHidden/>
    <w:unhideWhenUsed/>
    <w:rsid w:val="008801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013F"/>
    <w:rPr>
      <w:sz w:val="20"/>
      <w:szCs w:val="20"/>
    </w:rPr>
  </w:style>
  <w:style w:type="character" w:styleId="Refdenotaalpie">
    <w:name w:val="footnote reference"/>
    <w:basedOn w:val="Fuentedeprrafopredeter"/>
    <w:uiPriority w:val="99"/>
    <w:semiHidden/>
    <w:unhideWhenUsed/>
    <w:rsid w:val="0088013F"/>
    <w:rPr>
      <w:vertAlign w:val="superscript"/>
    </w:rPr>
  </w:style>
  <w:style w:type="character" w:styleId="Hipervnculo">
    <w:name w:val="Hyperlink"/>
    <w:basedOn w:val="Fuentedeprrafopredeter"/>
    <w:uiPriority w:val="99"/>
    <w:unhideWhenUsed/>
    <w:rsid w:val="006912D4"/>
    <w:rPr>
      <w:color w:val="0563C1" w:themeColor="hyperlink"/>
      <w:u w:val="single"/>
    </w:rPr>
  </w:style>
  <w:style w:type="paragraph" w:styleId="Prrafodelista">
    <w:name w:val="List Paragraph"/>
    <w:basedOn w:val="Normal"/>
    <w:uiPriority w:val="34"/>
    <w:qFormat/>
    <w:rsid w:val="006912D4"/>
    <w:pPr>
      <w:ind w:left="720"/>
      <w:contextualSpacing/>
    </w:pPr>
  </w:style>
  <w:style w:type="character" w:styleId="Textodelmarcadordeposicin">
    <w:name w:val="Placeholder Text"/>
    <w:basedOn w:val="Fuentedeprrafopredeter"/>
    <w:uiPriority w:val="99"/>
    <w:semiHidden/>
    <w:rsid w:val="00DB4545"/>
    <w:rPr>
      <w:color w:val="808080"/>
    </w:rPr>
  </w:style>
  <w:style w:type="paragraph" w:styleId="Textodeglobo">
    <w:name w:val="Balloon Text"/>
    <w:basedOn w:val="Normal"/>
    <w:link w:val="TextodegloboCar"/>
    <w:uiPriority w:val="99"/>
    <w:semiHidden/>
    <w:unhideWhenUsed/>
    <w:rsid w:val="00DB01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1F6"/>
    <w:rPr>
      <w:rFonts w:ascii="Segoe UI" w:hAnsi="Segoe UI" w:cs="Segoe UI"/>
      <w:sz w:val="18"/>
      <w:szCs w:val="18"/>
    </w:rPr>
  </w:style>
  <w:style w:type="paragraph" w:styleId="Encabezado">
    <w:name w:val="header"/>
    <w:basedOn w:val="Normal"/>
    <w:link w:val="EncabezadoCar"/>
    <w:uiPriority w:val="99"/>
    <w:unhideWhenUsed/>
    <w:rsid w:val="00DB01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1F6"/>
  </w:style>
  <w:style w:type="paragraph" w:styleId="Piedepgina">
    <w:name w:val="footer"/>
    <w:basedOn w:val="Normal"/>
    <w:link w:val="PiedepginaCar"/>
    <w:uiPriority w:val="99"/>
    <w:unhideWhenUsed/>
    <w:rsid w:val="00DB01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568">
      <w:bodyDiv w:val="1"/>
      <w:marLeft w:val="0"/>
      <w:marRight w:val="0"/>
      <w:marTop w:val="0"/>
      <w:marBottom w:val="0"/>
      <w:divBdr>
        <w:top w:val="none" w:sz="0" w:space="0" w:color="auto"/>
        <w:left w:val="none" w:sz="0" w:space="0" w:color="auto"/>
        <w:bottom w:val="none" w:sz="0" w:space="0" w:color="auto"/>
        <w:right w:val="none" w:sz="0" w:space="0" w:color="auto"/>
      </w:divBdr>
    </w:div>
    <w:div w:id="109667077">
      <w:bodyDiv w:val="1"/>
      <w:marLeft w:val="0"/>
      <w:marRight w:val="0"/>
      <w:marTop w:val="0"/>
      <w:marBottom w:val="0"/>
      <w:divBdr>
        <w:top w:val="none" w:sz="0" w:space="0" w:color="auto"/>
        <w:left w:val="none" w:sz="0" w:space="0" w:color="auto"/>
        <w:bottom w:val="none" w:sz="0" w:space="0" w:color="auto"/>
        <w:right w:val="none" w:sz="0" w:space="0" w:color="auto"/>
      </w:divBdr>
    </w:div>
    <w:div w:id="190729359">
      <w:bodyDiv w:val="1"/>
      <w:marLeft w:val="0"/>
      <w:marRight w:val="0"/>
      <w:marTop w:val="0"/>
      <w:marBottom w:val="0"/>
      <w:divBdr>
        <w:top w:val="none" w:sz="0" w:space="0" w:color="auto"/>
        <w:left w:val="none" w:sz="0" w:space="0" w:color="auto"/>
        <w:bottom w:val="none" w:sz="0" w:space="0" w:color="auto"/>
        <w:right w:val="none" w:sz="0" w:space="0" w:color="auto"/>
      </w:divBdr>
    </w:div>
    <w:div w:id="323627196">
      <w:bodyDiv w:val="1"/>
      <w:marLeft w:val="0"/>
      <w:marRight w:val="0"/>
      <w:marTop w:val="0"/>
      <w:marBottom w:val="0"/>
      <w:divBdr>
        <w:top w:val="none" w:sz="0" w:space="0" w:color="auto"/>
        <w:left w:val="none" w:sz="0" w:space="0" w:color="auto"/>
        <w:bottom w:val="none" w:sz="0" w:space="0" w:color="auto"/>
        <w:right w:val="none" w:sz="0" w:space="0" w:color="auto"/>
      </w:divBdr>
    </w:div>
    <w:div w:id="356195463">
      <w:bodyDiv w:val="1"/>
      <w:marLeft w:val="0"/>
      <w:marRight w:val="0"/>
      <w:marTop w:val="0"/>
      <w:marBottom w:val="0"/>
      <w:divBdr>
        <w:top w:val="none" w:sz="0" w:space="0" w:color="auto"/>
        <w:left w:val="none" w:sz="0" w:space="0" w:color="auto"/>
        <w:bottom w:val="none" w:sz="0" w:space="0" w:color="auto"/>
        <w:right w:val="none" w:sz="0" w:space="0" w:color="auto"/>
      </w:divBdr>
    </w:div>
    <w:div w:id="530190063">
      <w:bodyDiv w:val="1"/>
      <w:marLeft w:val="0"/>
      <w:marRight w:val="0"/>
      <w:marTop w:val="0"/>
      <w:marBottom w:val="0"/>
      <w:divBdr>
        <w:top w:val="none" w:sz="0" w:space="0" w:color="auto"/>
        <w:left w:val="none" w:sz="0" w:space="0" w:color="auto"/>
        <w:bottom w:val="none" w:sz="0" w:space="0" w:color="auto"/>
        <w:right w:val="none" w:sz="0" w:space="0" w:color="auto"/>
      </w:divBdr>
    </w:div>
    <w:div w:id="572589089">
      <w:bodyDiv w:val="1"/>
      <w:marLeft w:val="0"/>
      <w:marRight w:val="0"/>
      <w:marTop w:val="0"/>
      <w:marBottom w:val="0"/>
      <w:divBdr>
        <w:top w:val="none" w:sz="0" w:space="0" w:color="auto"/>
        <w:left w:val="none" w:sz="0" w:space="0" w:color="auto"/>
        <w:bottom w:val="none" w:sz="0" w:space="0" w:color="auto"/>
        <w:right w:val="none" w:sz="0" w:space="0" w:color="auto"/>
      </w:divBdr>
    </w:div>
    <w:div w:id="843206122">
      <w:bodyDiv w:val="1"/>
      <w:marLeft w:val="0"/>
      <w:marRight w:val="0"/>
      <w:marTop w:val="0"/>
      <w:marBottom w:val="0"/>
      <w:divBdr>
        <w:top w:val="none" w:sz="0" w:space="0" w:color="auto"/>
        <w:left w:val="none" w:sz="0" w:space="0" w:color="auto"/>
        <w:bottom w:val="none" w:sz="0" w:space="0" w:color="auto"/>
        <w:right w:val="none" w:sz="0" w:space="0" w:color="auto"/>
      </w:divBdr>
    </w:div>
    <w:div w:id="856699467">
      <w:bodyDiv w:val="1"/>
      <w:marLeft w:val="0"/>
      <w:marRight w:val="0"/>
      <w:marTop w:val="0"/>
      <w:marBottom w:val="0"/>
      <w:divBdr>
        <w:top w:val="none" w:sz="0" w:space="0" w:color="auto"/>
        <w:left w:val="none" w:sz="0" w:space="0" w:color="auto"/>
        <w:bottom w:val="none" w:sz="0" w:space="0" w:color="auto"/>
        <w:right w:val="none" w:sz="0" w:space="0" w:color="auto"/>
      </w:divBdr>
    </w:div>
    <w:div w:id="953370619">
      <w:bodyDiv w:val="1"/>
      <w:marLeft w:val="0"/>
      <w:marRight w:val="0"/>
      <w:marTop w:val="0"/>
      <w:marBottom w:val="0"/>
      <w:divBdr>
        <w:top w:val="none" w:sz="0" w:space="0" w:color="auto"/>
        <w:left w:val="none" w:sz="0" w:space="0" w:color="auto"/>
        <w:bottom w:val="none" w:sz="0" w:space="0" w:color="auto"/>
        <w:right w:val="none" w:sz="0" w:space="0" w:color="auto"/>
      </w:divBdr>
    </w:div>
    <w:div w:id="1167864909">
      <w:bodyDiv w:val="1"/>
      <w:marLeft w:val="0"/>
      <w:marRight w:val="0"/>
      <w:marTop w:val="0"/>
      <w:marBottom w:val="0"/>
      <w:divBdr>
        <w:top w:val="none" w:sz="0" w:space="0" w:color="auto"/>
        <w:left w:val="none" w:sz="0" w:space="0" w:color="auto"/>
        <w:bottom w:val="none" w:sz="0" w:space="0" w:color="auto"/>
        <w:right w:val="none" w:sz="0" w:space="0" w:color="auto"/>
      </w:divBdr>
    </w:div>
    <w:div w:id="1187449623">
      <w:bodyDiv w:val="1"/>
      <w:marLeft w:val="0"/>
      <w:marRight w:val="0"/>
      <w:marTop w:val="0"/>
      <w:marBottom w:val="0"/>
      <w:divBdr>
        <w:top w:val="none" w:sz="0" w:space="0" w:color="auto"/>
        <w:left w:val="none" w:sz="0" w:space="0" w:color="auto"/>
        <w:bottom w:val="none" w:sz="0" w:space="0" w:color="auto"/>
        <w:right w:val="none" w:sz="0" w:space="0" w:color="auto"/>
      </w:divBdr>
    </w:div>
    <w:div w:id="1258975769">
      <w:bodyDiv w:val="1"/>
      <w:marLeft w:val="0"/>
      <w:marRight w:val="0"/>
      <w:marTop w:val="0"/>
      <w:marBottom w:val="0"/>
      <w:divBdr>
        <w:top w:val="none" w:sz="0" w:space="0" w:color="auto"/>
        <w:left w:val="none" w:sz="0" w:space="0" w:color="auto"/>
        <w:bottom w:val="none" w:sz="0" w:space="0" w:color="auto"/>
        <w:right w:val="none" w:sz="0" w:space="0" w:color="auto"/>
      </w:divBdr>
    </w:div>
    <w:div w:id="1284074926">
      <w:bodyDiv w:val="1"/>
      <w:marLeft w:val="0"/>
      <w:marRight w:val="0"/>
      <w:marTop w:val="0"/>
      <w:marBottom w:val="0"/>
      <w:divBdr>
        <w:top w:val="none" w:sz="0" w:space="0" w:color="auto"/>
        <w:left w:val="none" w:sz="0" w:space="0" w:color="auto"/>
        <w:bottom w:val="none" w:sz="0" w:space="0" w:color="auto"/>
        <w:right w:val="none" w:sz="0" w:space="0" w:color="auto"/>
      </w:divBdr>
    </w:div>
    <w:div w:id="1418746182">
      <w:bodyDiv w:val="1"/>
      <w:marLeft w:val="0"/>
      <w:marRight w:val="0"/>
      <w:marTop w:val="0"/>
      <w:marBottom w:val="0"/>
      <w:divBdr>
        <w:top w:val="none" w:sz="0" w:space="0" w:color="auto"/>
        <w:left w:val="none" w:sz="0" w:space="0" w:color="auto"/>
        <w:bottom w:val="none" w:sz="0" w:space="0" w:color="auto"/>
        <w:right w:val="none" w:sz="0" w:space="0" w:color="auto"/>
      </w:divBdr>
    </w:div>
    <w:div w:id="1639648046">
      <w:bodyDiv w:val="1"/>
      <w:marLeft w:val="0"/>
      <w:marRight w:val="0"/>
      <w:marTop w:val="0"/>
      <w:marBottom w:val="0"/>
      <w:divBdr>
        <w:top w:val="none" w:sz="0" w:space="0" w:color="auto"/>
        <w:left w:val="none" w:sz="0" w:space="0" w:color="auto"/>
        <w:bottom w:val="none" w:sz="0" w:space="0" w:color="auto"/>
        <w:right w:val="none" w:sz="0" w:space="0" w:color="auto"/>
      </w:divBdr>
    </w:div>
    <w:div w:id="1801607231">
      <w:bodyDiv w:val="1"/>
      <w:marLeft w:val="0"/>
      <w:marRight w:val="0"/>
      <w:marTop w:val="0"/>
      <w:marBottom w:val="0"/>
      <w:divBdr>
        <w:top w:val="none" w:sz="0" w:space="0" w:color="auto"/>
        <w:left w:val="none" w:sz="0" w:space="0" w:color="auto"/>
        <w:bottom w:val="none" w:sz="0" w:space="0" w:color="auto"/>
        <w:right w:val="none" w:sz="0" w:space="0" w:color="auto"/>
      </w:divBdr>
    </w:div>
    <w:div w:id="1844279643">
      <w:bodyDiv w:val="1"/>
      <w:marLeft w:val="0"/>
      <w:marRight w:val="0"/>
      <w:marTop w:val="0"/>
      <w:marBottom w:val="0"/>
      <w:divBdr>
        <w:top w:val="none" w:sz="0" w:space="0" w:color="auto"/>
        <w:left w:val="none" w:sz="0" w:space="0" w:color="auto"/>
        <w:bottom w:val="none" w:sz="0" w:space="0" w:color="auto"/>
        <w:right w:val="none" w:sz="0" w:space="0" w:color="auto"/>
      </w:divBdr>
    </w:div>
    <w:div w:id="1950234252">
      <w:bodyDiv w:val="1"/>
      <w:marLeft w:val="0"/>
      <w:marRight w:val="0"/>
      <w:marTop w:val="0"/>
      <w:marBottom w:val="0"/>
      <w:divBdr>
        <w:top w:val="none" w:sz="0" w:space="0" w:color="auto"/>
        <w:left w:val="none" w:sz="0" w:space="0" w:color="auto"/>
        <w:bottom w:val="none" w:sz="0" w:space="0" w:color="auto"/>
        <w:right w:val="none" w:sz="0" w:space="0" w:color="auto"/>
      </w:divBdr>
    </w:div>
    <w:div w:id="1964076545">
      <w:bodyDiv w:val="1"/>
      <w:marLeft w:val="0"/>
      <w:marRight w:val="0"/>
      <w:marTop w:val="0"/>
      <w:marBottom w:val="0"/>
      <w:divBdr>
        <w:top w:val="none" w:sz="0" w:space="0" w:color="auto"/>
        <w:left w:val="none" w:sz="0" w:space="0" w:color="auto"/>
        <w:bottom w:val="none" w:sz="0" w:space="0" w:color="auto"/>
        <w:right w:val="none" w:sz="0" w:space="0" w:color="auto"/>
      </w:divBdr>
    </w:div>
    <w:div w:id="1979415501">
      <w:bodyDiv w:val="1"/>
      <w:marLeft w:val="0"/>
      <w:marRight w:val="0"/>
      <w:marTop w:val="0"/>
      <w:marBottom w:val="0"/>
      <w:divBdr>
        <w:top w:val="none" w:sz="0" w:space="0" w:color="auto"/>
        <w:left w:val="none" w:sz="0" w:space="0" w:color="auto"/>
        <w:bottom w:val="none" w:sz="0" w:space="0" w:color="auto"/>
        <w:right w:val="none" w:sz="0" w:space="0" w:color="auto"/>
      </w:divBdr>
    </w:div>
    <w:div w:id="2022703686">
      <w:bodyDiv w:val="1"/>
      <w:marLeft w:val="0"/>
      <w:marRight w:val="0"/>
      <w:marTop w:val="0"/>
      <w:marBottom w:val="0"/>
      <w:divBdr>
        <w:top w:val="none" w:sz="0" w:space="0" w:color="auto"/>
        <w:left w:val="none" w:sz="0" w:space="0" w:color="auto"/>
        <w:bottom w:val="none" w:sz="0" w:space="0" w:color="auto"/>
        <w:right w:val="none" w:sz="0" w:space="0" w:color="auto"/>
      </w:divBdr>
    </w:div>
    <w:div w:id="2023587723">
      <w:bodyDiv w:val="1"/>
      <w:marLeft w:val="0"/>
      <w:marRight w:val="0"/>
      <w:marTop w:val="0"/>
      <w:marBottom w:val="0"/>
      <w:divBdr>
        <w:top w:val="none" w:sz="0" w:space="0" w:color="auto"/>
        <w:left w:val="none" w:sz="0" w:space="0" w:color="auto"/>
        <w:bottom w:val="none" w:sz="0" w:space="0" w:color="auto"/>
        <w:right w:val="none" w:sz="0" w:space="0" w:color="auto"/>
      </w:divBdr>
    </w:div>
    <w:div w:id="2063209925">
      <w:bodyDiv w:val="1"/>
      <w:marLeft w:val="0"/>
      <w:marRight w:val="0"/>
      <w:marTop w:val="0"/>
      <w:marBottom w:val="0"/>
      <w:divBdr>
        <w:top w:val="none" w:sz="0" w:space="0" w:color="auto"/>
        <w:left w:val="none" w:sz="0" w:space="0" w:color="auto"/>
        <w:bottom w:val="none" w:sz="0" w:space="0" w:color="auto"/>
        <w:right w:val="none" w:sz="0" w:space="0" w:color="auto"/>
      </w:divBdr>
    </w:div>
    <w:div w:id="21449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inance.yaho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inance.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B212-4697-4DBE-8510-2AB4C1AA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1974</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3</cp:revision>
  <cp:lastPrinted>2018-07-26T15:53:00Z</cp:lastPrinted>
  <dcterms:created xsi:type="dcterms:W3CDTF">2018-07-26T17:48:00Z</dcterms:created>
  <dcterms:modified xsi:type="dcterms:W3CDTF">2018-07-26T17:56:00Z</dcterms:modified>
</cp:coreProperties>
</file>