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08" w:rsidRPr="00094697" w:rsidRDefault="007F755D" w:rsidP="00D54808">
      <w:pPr>
        <w:rPr>
          <w:b/>
          <w:color w:val="002060"/>
        </w:rPr>
      </w:pPr>
      <w:r>
        <w:rPr>
          <w:b/>
          <w:color w:val="002060"/>
        </w:rPr>
        <w:t>ANÁLISIS</w:t>
      </w:r>
      <w:r w:rsidRPr="00094697">
        <w:rPr>
          <w:b/>
          <w:color w:val="002060"/>
        </w:rPr>
        <w:t xml:space="preserve"> DE COSTO EFECTIVIDAD</w:t>
      </w:r>
      <w:r>
        <w:rPr>
          <w:b/>
          <w:color w:val="002060"/>
        </w:rPr>
        <w:t xml:space="preserve"> PARA PROYECTOS SOCIALES</w:t>
      </w:r>
    </w:p>
    <w:p w:rsidR="00D54808" w:rsidRPr="00094697" w:rsidRDefault="00D54808" w:rsidP="00D54808">
      <w:pPr>
        <w:rPr>
          <w:b/>
          <w:color w:val="002060"/>
        </w:rPr>
      </w:pPr>
      <w:r w:rsidRPr="00094697">
        <w:rPr>
          <w:b/>
          <w:color w:val="002060"/>
        </w:rPr>
        <w:t>Caso: Proyecto de construcción de muro de protección contra inundaciones en Cajamarca</w:t>
      </w:r>
    </w:p>
    <w:p w:rsidR="00D54808" w:rsidRDefault="00D54808" w:rsidP="00D54808">
      <w:pPr>
        <w:jc w:val="both"/>
      </w:pPr>
      <w:r>
        <w:t xml:space="preserve">La </w:t>
      </w:r>
      <w:r w:rsidR="007F755D">
        <w:t xml:space="preserve">MUNICIPALIDAD DE CAJAMARCA </w:t>
      </w:r>
      <w:r>
        <w:t xml:space="preserve">quiere realizar trabajos preventivos frente al fenómeno del niño por lo cual se propone un proyecto de construcción de un sistema de protección contra inundaciones en el rio Ponte del distrito de Cajabamba. Los encargados de evaluar el proyecto se encuentran frente a dos alternativas de construcción del proyecto: la primera alternativa está compuesta de tres acciones: la construcción de muros de gaviones tipo caja, construcción de colchón </w:t>
      </w:r>
      <w:proofErr w:type="spellStart"/>
      <w:r>
        <w:t>antisocavante</w:t>
      </w:r>
      <w:proofErr w:type="spellEnd"/>
      <w:r>
        <w:t xml:space="preserve"> y un programa de capacitación en Gestión de riesgos y desastres. La segunda alternativa consiste solo en dos acciones: la cons</w:t>
      </w:r>
      <w:bookmarkStart w:id="0" w:name="_GoBack"/>
      <w:bookmarkEnd w:id="0"/>
      <w:r>
        <w:t>trucción de muros de concreto armado y la realización de un programa de capacitación en Gestión de r</w:t>
      </w:r>
      <w:r w:rsidR="00F75F0E">
        <w:t>iesgos y desastres. Ambas inversiones</w:t>
      </w:r>
      <w:r>
        <w:t xml:space="preserve"> tanto de la primera alternativa como de la segunda se presentan a continuación: </w:t>
      </w:r>
    </w:p>
    <w:p w:rsidR="00D54808" w:rsidRDefault="00D54808" w:rsidP="00D54808">
      <w:pPr>
        <w:pStyle w:val="Descripcin"/>
      </w:pPr>
      <w:r>
        <w:t xml:space="preserve">Tabla </w:t>
      </w:r>
      <w:r w:rsidR="007F755D">
        <w:fldChar w:fldCharType="begin"/>
      </w:r>
      <w:r w:rsidR="007F755D">
        <w:instrText xml:space="preserve"> SEQ Tabla \* ARABIC </w:instrText>
      </w:r>
      <w:r w:rsidR="007F755D">
        <w:fldChar w:fldCharType="separate"/>
      </w:r>
      <w:r w:rsidR="00A72535">
        <w:rPr>
          <w:noProof/>
        </w:rPr>
        <w:t>1</w:t>
      </w:r>
      <w:r w:rsidR="007F755D">
        <w:rPr>
          <w:noProof/>
        </w:rPr>
        <w:fldChar w:fldCharType="end"/>
      </w:r>
      <w:r>
        <w:t xml:space="preserve">: Datos </w:t>
      </w:r>
      <w:r w:rsidR="009B3881">
        <w:t xml:space="preserve">de inversión </w:t>
      </w:r>
      <w:r w:rsidR="00C764FD">
        <w:t xml:space="preserve">en dólares </w:t>
      </w:r>
    </w:p>
    <w:tbl>
      <w:tblPr>
        <w:tblW w:w="9525" w:type="dxa"/>
        <w:tblCellMar>
          <w:left w:w="70" w:type="dxa"/>
          <w:right w:w="70" w:type="dxa"/>
        </w:tblCellMar>
        <w:tblLook w:val="04A0" w:firstRow="1" w:lastRow="0" w:firstColumn="1" w:lastColumn="0" w:noHBand="0" w:noVBand="1"/>
      </w:tblPr>
      <w:tblGrid>
        <w:gridCol w:w="5245"/>
        <w:gridCol w:w="2126"/>
        <w:gridCol w:w="2154"/>
      </w:tblGrid>
      <w:tr w:rsidR="00A72535" w:rsidRPr="00970BE9" w:rsidTr="00A72535">
        <w:trPr>
          <w:trHeight w:val="118"/>
        </w:trPr>
        <w:tc>
          <w:tcPr>
            <w:tcW w:w="5245" w:type="dxa"/>
            <w:tcBorders>
              <w:top w:val="nil"/>
              <w:left w:val="nil"/>
              <w:bottom w:val="single" w:sz="4" w:space="0" w:color="auto"/>
              <w:right w:val="nil"/>
            </w:tcBorders>
            <w:shd w:val="clear" w:color="auto" w:fill="auto"/>
            <w:vAlign w:val="center"/>
            <w:hideMark/>
          </w:tcPr>
          <w:p w:rsidR="00A72535" w:rsidRPr="00970BE9" w:rsidRDefault="00A72535" w:rsidP="00A72535">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PRINCIPALES RUBROS</w:t>
            </w:r>
          </w:p>
        </w:tc>
        <w:tc>
          <w:tcPr>
            <w:tcW w:w="4280" w:type="dxa"/>
            <w:gridSpan w:val="2"/>
            <w:tcBorders>
              <w:top w:val="nil"/>
              <w:left w:val="nil"/>
              <w:bottom w:val="single" w:sz="4" w:space="0" w:color="auto"/>
              <w:right w:val="nil"/>
            </w:tcBorders>
            <w:shd w:val="clear" w:color="auto" w:fill="auto"/>
            <w:vAlign w:val="center"/>
            <w:hideMark/>
          </w:tcPr>
          <w:p w:rsidR="00A72535" w:rsidRPr="00970BE9" w:rsidRDefault="00A72535" w:rsidP="00A72535">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INVERSION</w:t>
            </w:r>
            <w:r w:rsidRPr="00970BE9">
              <w:rPr>
                <w:rFonts w:ascii="Calibri" w:eastAsia="Times New Roman" w:hAnsi="Calibri" w:cs="Calibri"/>
                <w:b/>
                <w:bCs/>
                <w:color w:val="000000"/>
                <w:lang w:eastAsia="es-PE"/>
              </w:rPr>
              <w:t xml:space="preserve"> A PRECIOS DE MERCADO</w:t>
            </w:r>
          </w:p>
        </w:tc>
      </w:tr>
      <w:tr w:rsidR="00A72535" w:rsidRPr="00970BE9" w:rsidTr="00A72535">
        <w:trPr>
          <w:trHeight w:val="118"/>
        </w:trPr>
        <w:tc>
          <w:tcPr>
            <w:tcW w:w="5245" w:type="dxa"/>
            <w:tcBorders>
              <w:top w:val="nil"/>
              <w:left w:val="nil"/>
              <w:bottom w:val="single" w:sz="4" w:space="0" w:color="auto"/>
              <w:right w:val="nil"/>
            </w:tcBorders>
            <w:shd w:val="clear" w:color="auto" w:fill="auto"/>
            <w:vAlign w:val="center"/>
          </w:tcPr>
          <w:p w:rsidR="00A72535" w:rsidRPr="00970BE9" w:rsidRDefault="00A72535" w:rsidP="00A72535">
            <w:pPr>
              <w:spacing w:after="0" w:line="240" w:lineRule="auto"/>
              <w:jc w:val="center"/>
              <w:rPr>
                <w:rFonts w:ascii="Calibri" w:eastAsia="Times New Roman" w:hAnsi="Calibri" w:cs="Calibri"/>
                <w:b/>
                <w:bCs/>
                <w:color w:val="000000"/>
                <w:lang w:eastAsia="es-PE"/>
              </w:rPr>
            </w:pPr>
          </w:p>
        </w:tc>
        <w:tc>
          <w:tcPr>
            <w:tcW w:w="2126" w:type="dxa"/>
            <w:tcBorders>
              <w:top w:val="nil"/>
              <w:left w:val="nil"/>
              <w:bottom w:val="single" w:sz="4" w:space="0" w:color="auto"/>
              <w:right w:val="nil"/>
            </w:tcBorders>
            <w:shd w:val="clear" w:color="auto" w:fill="auto"/>
            <w:vAlign w:val="center"/>
          </w:tcPr>
          <w:p w:rsidR="00A72535" w:rsidRPr="00970BE9" w:rsidRDefault="00A72535" w:rsidP="00A72535">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2060"/>
                <w:lang w:eastAsia="es-PE"/>
              </w:rPr>
              <w:t>ALTERNATIVA 1</w:t>
            </w:r>
          </w:p>
        </w:tc>
        <w:tc>
          <w:tcPr>
            <w:tcW w:w="2154" w:type="dxa"/>
            <w:tcBorders>
              <w:top w:val="nil"/>
              <w:left w:val="nil"/>
              <w:bottom w:val="single" w:sz="4" w:space="0" w:color="auto"/>
              <w:right w:val="nil"/>
            </w:tcBorders>
            <w:vAlign w:val="center"/>
          </w:tcPr>
          <w:p w:rsidR="00A72535" w:rsidRPr="00970BE9" w:rsidRDefault="00A72535" w:rsidP="00A72535">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2060"/>
                <w:lang w:eastAsia="es-PE"/>
              </w:rPr>
              <w:t>ALTERNATIVA 2</w:t>
            </w:r>
          </w:p>
        </w:tc>
      </w:tr>
      <w:tr w:rsidR="00A72535" w:rsidRPr="00970BE9" w:rsidTr="00A72535">
        <w:trPr>
          <w:trHeight w:val="8"/>
        </w:trPr>
        <w:tc>
          <w:tcPr>
            <w:tcW w:w="5245" w:type="dxa"/>
            <w:tcBorders>
              <w:top w:val="nil"/>
              <w:left w:val="nil"/>
              <w:bottom w:val="nil"/>
              <w:right w:val="nil"/>
            </w:tcBorders>
            <w:shd w:val="clear" w:color="auto" w:fill="auto"/>
            <w:noWrap/>
            <w:vAlign w:val="center"/>
            <w:hideMark/>
          </w:tcPr>
          <w:p w:rsidR="00A72535" w:rsidRPr="00970BE9" w:rsidRDefault="00A72535" w:rsidP="00A72535">
            <w:pPr>
              <w:spacing w:after="0" w:line="240" w:lineRule="auto"/>
              <w:rPr>
                <w:rFonts w:ascii="Calibri" w:eastAsia="Times New Roman" w:hAnsi="Calibri" w:cs="Calibri"/>
                <w:b/>
                <w:bCs/>
                <w:i/>
                <w:iCs/>
                <w:color w:val="000000"/>
                <w:lang w:eastAsia="es-PE"/>
              </w:rPr>
            </w:pPr>
            <w:r w:rsidRPr="00970BE9">
              <w:rPr>
                <w:rFonts w:ascii="Calibri" w:eastAsia="Times New Roman" w:hAnsi="Calibri" w:cs="Calibri"/>
                <w:b/>
                <w:bCs/>
                <w:i/>
                <w:iCs/>
                <w:color w:val="000000"/>
                <w:lang w:eastAsia="es-PE"/>
              </w:rPr>
              <w:t>EXPEDIENTE TECNICO</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10,091.74</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10,091.74</w:t>
            </w:r>
          </w:p>
        </w:tc>
      </w:tr>
      <w:tr w:rsidR="00A72535" w:rsidRPr="00970BE9" w:rsidTr="00A72535">
        <w:trPr>
          <w:trHeight w:val="79"/>
        </w:trPr>
        <w:tc>
          <w:tcPr>
            <w:tcW w:w="5245" w:type="dxa"/>
            <w:tcBorders>
              <w:top w:val="nil"/>
              <w:left w:val="nil"/>
              <w:bottom w:val="nil"/>
              <w:right w:val="nil"/>
            </w:tcBorders>
            <w:shd w:val="clear" w:color="auto" w:fill="auto"/>
            <w:noWrap/>
            <w:vAlign w:val="center"/>
            <w:hideMark/>
          </w:tcPr>
          <w:p w:rsidR="00A72535" w:rsidRPr="00970BE9" w:rsidRDefault="00A72535" w:rsidP="00A72535">
            <w:pPr>
              <w:spacing w:after="0" w:line="240" w:lineRule="auto"/>
              <w:rPr>
                <w:rFonts w:ascii="Calibri" w:eastAsia="Times New Roman" w:hAnsi="Calibri" w:cs="Calibri"/>
                <w:b/>
                <w:bCs/>
                <w:i/>
                <w:iCs/>
                <w:color w:val="000000"/>
                <w:lang w:eastAsia="es-PE"/>
              </w:rPr>
            </w:pPr>
            <w:r w:rsidRPr="00970BE9">
              <w:rPr>
                <w:rFonts w:ascii="Calibri" w:eastAsia="Times New Roman" w:hAnsi="Calibri" w:cs="Calibri"/>
                <w:b/>
                <w:bCs/>
                <w:i/>
                <w:iCs/>
                <w:color w:val="000000"/>
                <w:lang w:eastAsia="es-PE"/>
              </w:rPr>
              <w:t>COMPONENETES</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701,278.12</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719,626.74</w:t>
            </w:r>
          </w:p>
        </w:tc>
      </w:tr>
      <w:tr w:rsidR="00A72535" w:rsidRPr="00970BE9" w:rsidTr="00A72535">
        <w:trPr>
          <w:trHeight w:val="60"/>
        </w:trPr>
        <w:tc>
          <w:tcPr>
            <w:tcW w:w="5245" w:type="dxa"/>
            <w:tcBorders>
              <w:top w:val="nil"/>
              <w:left w:val="nil"/>
              <w:bottom w:val="nil"/>
              <w:right w:val="nil"/>
            </w:tcBorders>
            <w:shd w:val="clear" w:color="auto" w:fill="auto"/>
            <w:vAlign w:val="center"/>
            <w:hideMark/>
          </w:tcPr>
          <w:p w:rsidR="00A72535" w:rsidRPr="00DD5A0B" w:rsidRDefault="00A72535" w:rsidP="00A72535">
            <w:pPr>
              <w:spacing w:after="0" w:line="240" w:lineRule="auto"/>
              <w:ind w:left="214"/>
              <w:rPr>
                <w:rFonts w:ascii="Calibri" w:eastAsia="Times New Roman" w:hAnsi="Calibri" w:cs="Calibri"/>
                <w:bCs/>
                <w:color w:val="000000"/>
                <w:lang w:eastAsia="es-PE"/>
              </w:rPr>
            </w:pPr>
            <w:r w:rsidRPr="00DD5A0B">
              <w:rPr>
                <w:rFonts w:ascii="Calibri" w:eastAsia="Times New Roman" w:hAnsi="Calibri" w:cs="Calibri"/>
                <w:bCs/>
                <w:color w:val="000000"/>
                <w:lang w:eastAsia="es-PE"/>
              </w:rPr>
              <w:t xml:space="preserve">1. Construcción de muro de Gaviones de caja con alambre galvanizado de 3.40mm con </w:t>
            </w:r>
            <w:proofErr w:type="spellStart"/>
            <w:r w:rsidRPr="00DD5A0B">
              <w:rPr>
                <w:rFonts w:ascii="Calibri" w:eastAsia="Times New Roman" w:hAnsi="Calibri" w:cs="Calibri"/>
                <w:bCs/>
                <w:color w:val="000000"/>
                <w:lang w:eastAsia="es-PE"/>
              </w:rPr>
              <w:t>rec</w:t>
            </w:r>
            <w:proofErr w:type="spellEnd"/>
            <w:r w:rsidRPr="00DD5A0B">
              <w:rPr>
                <w:rFonts w:ascii="Calibri" w:eastAsia="Times New Roman" w:hAnsi="Calibri" w:cs="Calibri"/>
                <w:bCs/>
                <w:color w:val="000000"/>
                <w:lang w:eastAsia="es-PE"/>
              </w:rPr>
              <w:t xml:space="preserve"> de PVC</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697,149.68</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715,498.30</w:t>
            </w:r>
          </w:p>
        </w:tc>
      </w:tr>
      <w:tr w:rsidR="00A72535" w:rsidRPr="00970BE9" w:rsidTr="00A72535">
        <w:trPr>
          <w:trHeight w:val="60"/>
        </w:trPr>
        <w:tc>
          <w:tcPr>
            <w:tcW w:w="5245" w:type="dxa"/>
            <w:tcBorders>
              <w:top w:val="nil"/>
              <w:left w:val="nil"/>
              <w:bottom w:val="nil"/>
              <w:right w:val="nil"/>
            </w:tcBorders>
            <w:shd w:val="clear" w:color="auto" w:fill="auto"/>
            <w:noWrap/>
            <w:vAlign w:val="center"/>
            <w:hideMark/>
          </w:tcPr>
          <w:p w:rsidR="00A72535" w:rsidRPr="00DD5A0B" w:rsidRDefault="00A72535" w:rsidP="00A72535">
            <w:pPr>
              <w:spacing w:after="0" w:line="240" w:lineRule="auto"/>
              <w:ind w:left="214"/>
              <w:rPr>
                <w:rFonts w:ascii="Calibri" w:eastAsia="Times New Roman" w:hAnsi="Calibri" w:cs="Calibri"/>
                <w:bCs/>
                <w:color w:val="000000"/>
                <w:lang w:eastAsia="es-PE"/>
              </w:rPr>
            </w:pPr>
            <w:r w:rsidRPr="00DD5A0B">
              <w:rPr>
                <w:rFonts w:ascii="Calibri" w:eastAsia="Times New Roman" w:hAnsi="Calibri" w:cs="Calibri"/>
                <w:bCs/>
                <w:color w:val="000000"/>
                <w:lang w:eastAsia="es-PE"/>
              </w:rPr>
              <w:t>2. Flete</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2,293.58</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2,293.58</w:t>
            </w:r>
          </w:p>
        </w:tc>
      </w:tr>
      <w:tr w:rsidR="00A72535" w:rsidRPr="00970BE9" w:rsidTr="00A72535">
        <w:trPr>
          <w:trHeight w:val="60"/>
        </w:trPr>
        <w:tc>
          <w:tcPr>
            <w:tcW w:w="5245" w:type="dxa"/>
            <w:tcBorders>
              <w:top w:val="nil"/>
              <w:left w:val="nil"/>
              <w:bottom w:val="nil"/>
              <w:right w:val="nil"/>
            </w:tcBorders>
            <w:shd w:val="clear" w:color="auto" w:fill="auto"/>
            <w:vAlign w:val="center"/>
            <w:hideMark/>
          </w:tcPr>
          <w:p w:rsidR="00A72535" w:rsidRPr="00DD5A0B" w:rsidRDefault="00A72535" w:rsidP="00A72535">
            <w:pPr>
              <w:spacing w:after="0" w:line="240" w:lineRule="auto"/>
              <w:ind w:left="214"/>
              <w:rPr>
                <w:rFonts w:ascii="Calibri" w:eastAsia="Times New Roman" w:hAnsi="Calibri" w:cs="Calibri"/>
                <w:bCs/>
                <w:color w:val="000000"/>
                <w:lang w:eastAsia="es-PE"/>
              </w:rPr>
            </w:pPr>
            <w:r w:rsidRPr="00DD5A0B">
              <w:rPr>
                <w:rFonts w:ascii="Calibri" w:eastAsia="Times New Roman" w:hAnsi="Calibri" w:cs="Calibri"/>
                <w:bCs/>
                <w:color w:val="000000"/>
                <w:lang w:eastAsia="es-PE"/>
              </w:rPr>
              <w:t>3. Programa de capacitación en gestión de riesgos y desastres</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1,834.86</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1,834.86</w:t>
            </w:r>
          </w:p>
        </w:tc>
      </w:tr>
      <w:tr w:rsidR="00A72535" w:rsidRPr="00970BE9" w:rsidTr="00A72535">
        <w:trPr>
          <w:trHeight w:val="60"/>
        </w:trPr>
        <w:tc>
          <w:tcPr>
            <w:tcW w:w="5245" w:type="dxa"/>
            <w:tcBorders>
              <w:top w:val="nil"/>
              <w:left w:val="nil"/>
              <w:bottom w:val="nil"/>
              <w:right w:val="nil"/>
            </w:tcBorders>
            <w:shd w:val="clear" w:color="auto" w:fill="auto"/>
            <w:noWrap/>
            <w:vAlign w:val="center"/>
            <w:hideMark/>
          </w:tcPr>
          <w:p w:rsidR="00A72535" w:rsidRPr="00970BE9" w:rsidRDefault="00A72535" w:rsidP="00A72535">
            <w:pPr>
              <w:spacing w:after="0" w:line="240" w:lineRule="auto"/>
              <w:rPr>
                <w:rFonts w:ascii="Calibri" w:eastAsia="Times New Roman" w:hAnsi="Calibri" w:cs="Calibri"/>
                <w:b/>
                <w:bCs/>
                <w:i/>
                <w:iCs/>
                <w:color w:val="000000"/>
                <w:lang w:eastAsia="es-PE"/>
              </w:rPr>
            </w:pPr>
            <w:r w:rsidRPr="00970BE9">
              <w:rPr>
                <w:rFonts w:ascii="Calibri" w:eastAsia="Times New Roman" w:hAnsi="Calibri" w:cs="Calibri"/>
                <w:b/>
                <w:bCs/>
                <w:i/>
                <w:iCs/>
                <w:color w:val="000000"/>
                <w:lang w:eastAsia="es-PE"/>
              </w:rPr>
              <w:t>SUPERVICIÓN Y LIQUIDACIÓN DE OBRA</w:t>
            </w:r>
          </w:p>
        </w:tc>
        <w:tc>
          <w:tcPr>
            <w:tcW w:w="2126" w:type="dxa"/>
            <w:tcBorders>
              <w:top w:val="nil"/>
              <w:left w:val="nil"/>
              <w:bottom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18,857.10</w:t>
            </w:r>
          </w:p>
        </w:tc>
        <w:tc>
          <w:tcPr>
            <w:tcW w:w="2154" w:type="dxa"/>
            <w:tcBorders>
              <w:top w:val="nil"/>
              <w:left w:val="nil"/>
              <w:bottom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19,344.26</w:t>
            </w:r>
          </w:p>
        </w:tc>
      </w:tr>
      <w:tr w:rsidR="00A72535" w:rsidRPr="00970BE9" w:rsidTr="00A72535">
        <w:trPr>
          <w:trHeight w:val="60"/>
        </w:trPr>
        <w:tc>
          <w:tcPr>
            <w:tcW w:w="5245" w:type="dxa"/>
            <w:tcBorders>
              <w:top w:val="nil"/>
              <w:left w:val="nil"/>
              <w:right w:val="nil"/>
            </w:tcBorders>
            <w:shd w:val="clear" w:color="auto" w:fill="auto"/>
            <w:noWrap/>
            <w:vAlign w:val="center"/>
            <w:hideMark/>
          </w:tcPr>
          <w:p w:rsidR="00A72535" w:rsidRPr="00970BE9" w:rsidRDefault="00A72535" w:rsidP="00A72535">
            <w:pPr>
              <w:spacing w:after="0" w:line="240" w:lineRule="auto"/>
              <w:rPr>
                <w:rFonts w:ascii="Calibri" w:eastAsia="Times New Roman" w:hAnsi="Calibri" w:cs="Calibri"/>
                <w:b/>
                <w:bCs/>
                <w:i/>
                <w:iCs/>
                <w:color w:val="000000"/>
                <w:lang w:eastAsia="es-PE"/>
              </w:rPr>
            </w:pPr>
            <w:r w:rsidRPr="00970BE9">
              <w:rPr>
                <w:rFonts w:ascii="Calibri" w:eastAsia="Times New Roman" w:hAnsi="Calibri" w:cs="Calibri"/>
                <w:b/>
                <w:bCs/>
                <w:i/>
                <w:iCs/>
                <w:color w:val="000000"/>
                <w:lang w:eastAsia="es-PE"/>
              </w:rPr>
              <w:t>GASTOS GENERALES + IGV</w:t>
            </w:r>
          </w:p>
        </w:tc>
        <w:tc>
          <w:tcPr>
            <w:tcW w:w="2126" w:type="dxa"/>
            <w:tcBorders>
              <w:top w:val="nil"/>
              <w:left w:val="nil"/>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175,382.84</w:t>
            </w:r>
          </w:p>
        </w:tc>
        <w:tc>
          <w:tcPr>
            <w:tcW w:w="2154" w:type="dxa"/>
            <w:tcBorders>
              <w:top w:val="nil"/>
              <w:left w:val="nil"/>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179,924.13</w:t>
            </w:r>
          </w:p>
        </w:tc>
      </w:tr>
      <w:tr w:rsidR="00A72535" w:rsidRPr="00970BE9" w:rsidTr="00A72535">
        <w:trPr>
          <w:trHeight w:val="60"/>
        </w:trPr>
        <w:tc>
          <w:tcPr>
            <w:tcW w:w="5245" w:type="dxa"/>
            <w:tcBorders>
              <w:top w:val="nil"/>
              <w:left w:val="nil"/>
              <w:bottom w:val="single" w:sz="4" w:space="0" w:color="auto"/>
              <w:right w:val="nil"/>
            </w:tcBorders>
            <w:shd w:val="clear" w:color="auto" w:fill="auto"/>
            <w:noWrap/>
            <w:vAlign w:val="center"/>
            <w:hideMark/>
          </w:tcPr>
          <w:p w:rsidR="00A72535" w:rsidRPr="00970BE9" w:rsidRDefault="00A72535" w:rsidP="00A72535">
            <w:pPr>
              <w:spacing w:after="0" w:line="240" w:lineRule="auto"/>
              <w:rPr>
                <w:rFonts w:ascii="Calibri" w:eastAsia="Times New Roman" w:hAnsi="Calibri" w:cs="Calibri"/>
                <w:b/>
                <w:bCs/>
                <w:i/>
                <w:iCs/>
                <w:color w:val="000000"/>
                <w:lang w:eastAsia="es-PE"/>
              </w:rPr>
            </w:pPr>
            <w:r w:rsidRPr="00970BE9">
              <w:rPr>
                <w:rFonts w:ascii="Calibri" w:eastAsia="Times New Roman" w:hAnsi="Calibri" w:cs="Calibri"/>
                <w:b/>
                <w:bCs/>
                <w:i/>
                <w:iCs/>
                <w:color w:val="000000"/>
                <w:lang w:eastAsia="es-PE"/>
              </w:rPr>
              <w:t>UTILIDAD</w:t>
            </w:r>
          </w:p>
        </w:tc>
        <w:tc>
          <w:tcPr>
            <w:tcW w:w="2126" w:type="dxa"/>
            <w:tcBorders>
              <w:top w:val="nil"/>
              <w:left w:val="nil"/>
              <w:bottom w:val="single" w:sz="4" w:space="0" w:color="auto"/>
              <w:right w:val="nil"/>
            </w:tcBorders>
            <w:shd w:val="clear" w:color="auto" w:fill="auto"/>
            <w:noWrap/>
            <w:vAlign w:val="bottom"/>
            <w:hideMark/>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56,102.25</w:t>
            </w:r>
          </w:p>
        </w:tc>
        <w:tc>
          <w:tcPr>
            <w:tcW w:w="2154" w:type="dxa"/>
            <w:tcBorders>
              <w:top w:val="nil"/>
              <w:left w:val="nil"/>
              <w:bottom w:val="single" w:sz="4" w:space="0" w:color="auto"/>
              <w:right w:val="nil"/>
            </w:tcBorders>
            <w:vAlign w:val="bottom"/>
          </w:tcPr>
          <w:p w:rsidR="00A72535" w:rsidRPr="00DD5A0B" w:rsidRDefault="00A72535" w:rsidP="00A72535">
            <w:pPr>
              <w:spacing w:line="240" w:lineRule="auto"/>
              <w:jc w:val="center"/>
              <w:rPr>
                <w:rFonts w:ascii="Calibri" w:hAnsi="Calibri" w:cs="Calibri"/>
                <w:bCs/>
                <w:color w:val="000000"/>
              </w:rPr>
            </w:pPr>
            <w:r w:rsidRPr="00DD5A0B">
              <w:rPr>
                <w:rFonts w:ascii="Calibri" w:hAnsi="Calibri" w:cs="Calibri"/>
                <w:bCs/>
                <w:color w:val="000000"/>
              </w:rPr>
              <w:t>57,570.14</w:t>
            </w:r>
          </w:p>
        </w:tc>
      </w:tr>
      <w:tr w:rsidR="00A72535" w:rsidRPr="00970BE9" w:rsidTr="00A72535">
        <w:trPr>
          <w:trHeight w:val="60"/>
        </w:trPr>
        <w:tc>
          <w:tcPr>
            <w:tcW w:w="5245" w:type="dxa"/>
            <w:tcBorders>
              <w:top w:val="single" w:sz="4" w:space="0" w:color="auto"/>
              <w:left w:val="nil"/>
              <w:bottom w:val="single" w:sz="4" w:space="0" w:color="auto"/>
              <w:right w:val="nil"/>
            </w:tcBorders>
            <w:shd w:val="clear" w:color="auto" w:fill="auto"/>
            <w:noWrap/>
            <w:vAlign w:val="center"/>
          </w:tcPr>
          <w:p w:rsidR="00A72535" w:rsidRPr="00970BE9" w:rsidRDefault="00A72535" w:rsidP="00A72535">
            <w:pPr>
              <w:spacing w:after="0" w:line="240" w:lineRule="auto"/>
              <w:rPr>
                <w:rFonts w:ascii="Calibri" w:eastAsia="Times New Roman" w:hAnsi="Calibri" w:cs="Calibri"/>
                <w:b/>
                <w:bCs/>
                <w:i/>
                <w:iCs/>
                <w:color w:val="000000"/>
                <w:lang w:eastAsia="es-PE"/>
              </w:rPr>
            </w:pPr>
            <w:r>
              <w:rPr>
                <w:rFonts w:ascii="Calibri" w:eastAsia="Times New Roman" w:hAnsi="Calibri" w:cs="Calibri"/>
                <w:b/>
                <w:bCs/>
                <w:i/>
                <w:iCs/>
                <w:color w:val="000000"/>
                <w:lang w:eastAsia="es-PE"/>
              </w:rPr>
              <w:t>TOTAL</w:t>
            </w:r>
          </w:p>
        </w:tc>
        <w:tc>
          <w:tcPr>
            <w:tcW w:w="2126" w:type="dxa"/>
            <w:tcBorders>
              <w:top w:val="single" w:sz="4" w:space="0" w:color="auto"/>
              <w:left w:val="nil"/>
              <w:bottom w:val="single" w:sz="4" w:space="0" w:color="auto"/>
              <w:right w:val="nil"/>
            </w:tcBorders>
            <w:shd w:val="clear" w:color="auto" w:fill="auto"/>
            <w:noWrap/>
            <w:vAlign w:val="bottom"/>
          </w:tcPr>
          <w:p w:rsidR="00A72535" w:rsidRPr="00DD5A0B" w:rsidRDefault="00A72535" w:rsidP="00A72535">
            <w:pPr>
              <w:spacing w:line="240" w:lineRule="auto"/>
              <w:jc w:val="center"/>
              <w:rPr>
                <w:rFonts w:ascii="Calibri" w:hAnsi="Calibri" w:cs="Calibri"/>
                <w:b/>
                <w:color w:val="000000"/>
              </w:rPr>
            </w:pPr>
            <w:r w:rsidRPr="00DD5A0B">
              <w:rPr>
                <w:rFonts w:ascii="Calibri" w:hAnsi="Calibri" w:cs="Calibri"/>
                <w:b/>
                <w:color w:val="000000"/>
              </w:rPr>
              <w:t>961,712.06</w:t>
            </w:r>
          </w:p>
        </w:tc>
        <w:tc>
          <w:tcPr>
            <w:tcW w:w="2154" w:type="dxa"/>
            <w:tcBorders>
              <w:top w:val="single" w:sz="4" w:space="0" w:color="auto"/>
              <w:left w:val="nil"/>
              <w:bottom w:val="single" w:sz="4" w:space="0" w:color="auto"/>
              <w:right w:val="nil"/>
            </w:tcBorders>
            <w:vAlign w:val="bottom"/>
          </w:tcPr>
          <w:p w:rsidR="00A72535" w:rsidRPr="00DD5A0B" w:rsidRDefault="00A72535" w:rsidP="00A72535">
            <w:pPr>
              <w:spacing w:line="240" w:lineRule="auto"/>
              <w:jc w:val="center"/>
              <w:rPr>
                <w:rFonts w:ascii="Calibri" w:hAnsi="Calibri" w:cs="Calibri"/>
                <w:b/>
                <w:color w:val="000000"/>
              </w:rPr>
            </w:pPr>
            <w:r w:rsidRPr="00DD5A0B">
              <w:rPr>
                <w:rFonts w:ascii="Calibri" w:hAnsi="Calibri" w:cs="Calibri"/>
                <w:b/>
                <w:color w:val="000000"/>
              </w:rPr>
              <w:t>986,557.01</w:t>
            </w:r>
          </w:p>
        </w:tc>
      </w:tr>
    </w:tbl>
    <w:p w:rsidR="00A72535" w:rsidRDefault="00A72535" w:rsidP="00D54808">
      <w:pPr>
        <w:jc w:val="both"/>
      </w:pPr>
    </w:p>
    <w:p w:rsidR="00D54808" w:rsidRDefault="00DD5A0B" w:rsidP="00D54808">
      <w:pPr>
        <w:jc w:val="both"/>
      </w:pPr>
      <w:r>
        <w:t xml:space="preserve">Los gastos de operación y mantenimiento ascienden a </w:t>
      </w:r>
      <w:r w:rsidR="009B3881">
        <w:t xml:space="preserve">$ </w:t>
      </w:r>
      <w:r w:rsidRPr="00DD5A0B">
        <w:t>4</w:t>
      </w:r>
      <w:r>
        <w:t>,</w:t>
      </w:r>
      <w:r w:rsidRPr="00DD5A0B">
        <w:t>564.8</w:t>
      </w:r>
      <w:r>
        <w:t xml:space="preserve"> </w:t>
      </w:r>
      <w:r w:rsidR="009B3881">
        <w:t>anuales</w:t>
      </w:r>
      <w:r w:rsidR="00A72535">
        <w:t>, y son los mismos para la Alternativa 1 y la Alternativa 2</w:t>
      </w:r>
      <w:r w:rsidR="009B3881">
        <w:t xml:space="preserve">. </w:t>
      </w:r>
      <w:r w:rsidR="00A72535">
        <w:t>Además e</w:t>
      </w:r>
      <w:r w:rsidR="00D54808">
        <w:t>l p</w:t>
      </w:r>
      <w:r>
        <w:t>royecto tendrá</w:t>
      </w:r>
      <w:r w:rsidR="00D54808">
        <w:t xml:space="preserve"> a las siguientes cantidades de beneficiados </w:t>
      </w:r>
      <w:r>
        <w:t>para cada año de evaluación del proyecto</w:t>
      </w:r>
    </w:p>
    <w:p w:rsidR="00D54808" w:rsidRDefault="00D54808" w:rsidP="00D54808">
      <w:pPr>
        <w:pStyle w:val="Descripcin"/>
      </w:pPr>
      <w:r>
        <w:t xml:space="preserve">Tabla </w:t>
      </w:r>
      <w:r w:rsidR="007F755D">
        <w:fldChar w:fldCharType="begin"/>
      </w:r>
      <w:r w:rsidR="007F755D">
        <w:instrText xml:space="preserve"> SEQ Tabla \* ARABIC </w:instrText>
      </w:r>
      <w:r w:rsidR="007F755D">
        <w:fldChar w:fldCharType="separate"/>
      </w:r>
      <w:r w:rsidR="00A72535">
        <w:rPr>
          <w:noProof/>
        </w:rPr>
        <w:t>2</w:t>
      </w:r>
      <w:r w:rsidR="007F755D">
        <w:rPr>
          <w:noProof/>
        </w:rPr>
        <w:fldChar w:fldCharType="end"/>
      </w:r>
      <w:r>
        <w:t>: Cantidad de beneficiarios por cada año de ida del proyecto</w:t>
      </w:r>
    </w:p>
    <w:tbl>
      <w:tblPr>
        <w:tblW w:w="9823" w:type="dxa"/>
        <w:tblCellMar>
          <w:left w:w="70" w:type="dxa"/>
          <w:right w:w="70" w:type="dxa"/>
        </w:tblCellMar>
        <w:tblLook w:val="04A0" w:firstRow="1" w:lastRow="0" w:firstColumn="1" w:lastColumn="0" w:noHBand="0" w:noVBand="1"/>
      </w:tblPr>
      <w:tblGrid>
        <w:gridCol w:w="2062"/>
        <w:gridCol w:w="592"/>
        <w:gridCol w:w="917"/>
        <w:gridCol w:w="749"/>
        <w:gridCol w:w="818"/>
        <w:gridCol w:w="592"/>
        <w:gridCol w:w="592"/>
        <w:gridCol w:w="592"/>
        <w:gridCol w:w="592"/>
        <w:gridCol w:w="670"/>
        <w:gridCol w:w="730"/>
        <w:gridCol w:w="917"/>
      </w:tblGrid>
      <w:tr w:rsidR="00D54808" w:rsidRPr="00970BE9" w:rsidTr="00A72535">
        <w:trPr>
          <w:trHeight w:val="340"/>
        </w:trPr>
        <w:tc>
          <w:tcPr>
            <w:tcW w:w="206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Años</w:t>
            </w:r>
          </w:p>
        </w:tc>
        <w:tc>
          <w:tcPr>
            <w:tcW w:w="59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0</w:t>
            </w:r>
          </w:p>
        </w:tc>
        <w:tc>
          <w:tcPr>
            <w:tcW w:w="917"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1</w:t>
            </w:r>
          </w:p>
        </w:tc>
        <w:tc>
          <w:tcPr>
            <w:tcW w:w="749"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2</w:t>
            </w:r>
          </w:p>
        </w:tc>
        <w:tc>
          <w:tcPr>
            <w:tcW w:w="818"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3</w:t>
            </w:r>
          </w:p>
        </w:tc>
        <w:tc>
          <w:tcPr>
            <w:tcW w:w="59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4</w:t>
            </w:r>
          </w:p>
        </w:tc>
        <w:tc>
          <w:tcPr>
            <w:tcW w:w="59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5</w:t>
            </w:r>
          </w:p>
        </w:tc>
        <w:tc>
          <w:tcPr>
            <w:tcW w:w="59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6</w:t>
            </w:r>
          </w:p>
        </w:tc>
        <w:tc>
          <w:tcPr>
            <w:tcW w:w="592"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7</w:t>
            </w:r>
          </w:p>
        </w:tc>
        <w:tc>
          <w:tcPr>
            <w:tcW w:w="670"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8</w:t>
            </w:r>
          </w:p>
        </w:tc>
        <w:tc>
          <w:tcPr>
            <w:tcW w:w="730"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9</w:t>
            </w:r>
          </w:p>
        </w:tc>
        <w:tc>
          <w:tcPr>
            <w:tcW w:w="917" w:type="dxa"/>
            <w:tcBorders>
              <w:top w:val="nil"/>
              <w:left w:val="nil"/>
              <w:bottom w:val="single" w:sz="4" w:space="0" w:color="auto"/>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10</w:t>
            </w:r>
          </w:p>
        </w:tc>
      </w:tr>
      <w:tr w:rsidR="00D54808" w:rsidRPr="00970BE9" w:rsidTr="00A72535">
        <w:trPr>
          <w:trHeight w:val="340"/>
        </w:trPr>
        <w:tc>
          <w:tcPr>
            <w:tcW w:w="206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rPr>
                <w:rFonts w:ascii="Calibri" w:eastAsia="Times New Roman" w:hAnsi="Calibri" w:cs="Calibri"/>
                <w:b/>
                <w:bCs/>
                <w:color w:val="000000"/>
                <w:lang w:eastAsia="es-PE"/>
              </w:rPr>
            </w:pPr>
            <w:r w:rsidRPr="00970BE9">
              <w:rPr>
                <w:rFonts w:ascii="Calibri" w:eastAsia="Times New Roman" w:hAnsi="Calibri" w:cs="Calibri"/>
                <w:b/>
                <w:bCs/>
                <w:color w:val="000000"/>
                <w:lang w:eastAsia="es-PE"/>
              </w:rPr>
              <w:t>Población(Hab.)</w:t>
            </w:r>
          </w:p>
        </w:tc>
        <w:tc>
          <w:tcPr>
            <w:tcW w:w="59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175</w:t>
            </w:r>
          </w:p>
        </w:tc>
        <w:tc>
          <w:tcPr>
            <w:tcW w:w="917"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176</w:t>
            </w:r>
          </w:p>
        </w:tc>
        <w:tc>
          <w:tcPr>
            <w:tcW w:w="749"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177</w:t>
            </w:r>
          </w:p>
        </w:tc>
        <w:tc>
          <w:tcPr>
            <w:tcW w:w="818"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178</w:t>
            </w:r>
          </w:p>
        </w:tc>
        <w:tc>
          <w:tcPr>
            <w:tcW w:w="59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180</w:t>
            </w:r>
          </w:p>
        </w:tc>
        <w:tc>
          <w:tcPr>
            <w:tcW w:w="59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183</w:t>
            </w:r>
          </w:p>
        </w:tc>
        <w:tc>
          <w:tcPr>
            <w:tcW w:w="59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187</w:t>
            </w:r>
          </w:p>
        </w:tc>
        <w:tc>
          <w:tcPr>
            <w:tcW w:w="592"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191</w:t>
            </w:r>
          </w:p>
        </w:tc>
        <w:tc>
          <w:tcPr>
            <w:tcW w:w="670"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195</w:t>
            </w:r>
          </w:p>
        </w:tc>
        <w:tc>
          <w:tcPr>
            <w:tcW w:w="730"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201</w:t>
            </w:r>
          </w:p>
        </w:tc>
        <w:tc>
          <w:tcPr>
            <w:tcW w:w="917" w:type="dxa"/>
            <w:tcBorders>
              <w:top w:val="nil"/>
              <w:left w:val="nil"/>
              <w:bottom w:val="nil"/>
              <w:right w:val="nil"/>
            </w:tcBorders>
            <w:shd w:val="clear" w:color="auto" w:fill="auto"/>
            <w:noWrap/>
            <w:vAlign w:val="bottom"/>
            <w:hideMark/>
          </w:tcPr>
          <w:p w:rsidR="00D54808" w:rsidRPr="00970BE9" w:rsidRDefault="00D54808" w:rsidP="00D54808">
            <w:pPr>
              <w:spacing w:after="0" w:line="240" w:lineRule="auto"/>
              <w:jc w:val="center"/>
              <w:rPr>
                <w:rFonts w:ascii="Calibri" w:eastAsia="Times New Roman" w:hAnsi="Calibri" w:cs="Calibri"/>
                <w:color w:val="000000"/>
                <w:lang w:eastAsia="es-PE"/>
              </w:rPr>
            </w:pPr>
            <w:r w:rsidRPr="00970BE9">
              <w:rPr>
                <w:rFonts w:ascii="Calibri" w:eastAsia="Times New Roman" w:hAnsi="Calibri" w:cs="Calibri"/>
                <w:color w:val="000000"/>
                <w:lang w:eastAsia="es-PE"/>
              </w:rPr>
              <w:t>207</w:t>
            </w:r>
          </w:p>
        </w:tc>
      </w:tr>
    </w:tbl>
    <w:p w:rsidR="00D06E1D" w:rsidRPr="00D06E1D" w:rsidRDefault="00D06E1D" w:rsidP="00D06E1D"/>
    <w:p w:rsidR="00094697" w:rsidRDefault="00985591" w:rsidP="00985591">
      <w:pPr>
        <w:jc w:val="both"/>
      </w:pPr>
      <w:r w:rsidRPr="00985591">
        <w:t>El factor de corrección de precios de mercado a preci</w:t>
      </w:r>
      <w:r>
        <w:t xml:space="preserve">os sociales </w:t>
      </w:r>
      <w:r w:rsidR="006A203C">
        <w:t>de acuerdo a las disposiciones del</w:t>
      </w:r>
      <w:r>
        <w:t xml:space="preserve"> </w:t>
      </w:r>
      <w:r w:rsidR="00AB72D0">
        <w:t xml:space="preserve">Ministerios de Economía y </w:t>
      </w:r>
      <w:r w:rsidR="00E16D99">
        <w:t>Finanzas (</w:t>
      </w:r>
      <w:r w:rsidR="00AB72D0">
        <w:t>MEF)</w:t>
      </w:r>
      <w:r>
        <w:t>, para cu</w:t>
      </w:r>
      <w:r w:rsidR="00E769C4">
        <w:t>estiones didácticas tomaremos dos</w:t>
      </w:r>
      <w:r>
        <w:t xml:space="preserve"> factor</w:t>
      </w:r>
      <w:r w:rsidR="00E769C4">
        <w:t xml:space="preserve">es de corrección: </w:t>
      </w:r>
      <w:r>
        <w:t>0.806</w:t>
      </w:r>
      <w:r w:rsidR="00DC580E" w:rsidRPr="00DD5A0B">
        <w:t xml:space="preserve"> para las inversiones y </w:t>
      </w:r>
      <w:r w:rsidR="00DC580E">
        <w:t>0.772 para los costos de operación y mantenimiento</w:t>
      </w:r>
      <w:r w:rsidR="00F8740B">
        <w:t xml:space="preserve">. </w:t>
      </w:r>
      <w:r w:rsidR="00F75F0E">
        <w:t xml:space="preserve">Se </w:t>
      </w:r>
      <w:r w:rsidR="00F75F0E">
        <w:lastRenderedPageBreak/>
        <w:t>pide decidir la mejor alternativa de construcción con la metodología costo de efectividad.</w:t>
      </w:r>
      <w:r w:rsidR="00F8740B">
        <w:t xml:space="preserve"> Además </w:t>
      </w:r>
      <w:r w:rsidR="00DC580E">
        <w:t>considerar como tasa social de descuento un</w:t>
      </w:r>
      <w:r w:rsidR="00F8740B">
        <w:t xml:space="preserve"> 10 %.</w:t>
      </w:r>
    </w:p>
    <w:p w:rsidR="00F75F0E" w:rsidRDefault="00D54808" w:rsidP="00094697">
      <w:pPr>
        <w:rPr>
          <w:b/>
          <w:color w:val="002060"/>
        </w:rPr>
      </w:pPr>
      <w:r w:rsidRPr="00D54808">
        <w:rPr>
          <w:b/>
          <w:color w:val="002060"/>
        </w:rPr>
        <w:t>SOLUCIÓN</w:t>
      </w:r>
    </w:p>
    <w:p w:rsidR="00F75F0E" w:rsidRDefault="00F75F0E" w:rsidP="0050449A">
      <w:pPr>
        <w:jc w:val="both"/>
        <w:rPr>
          <w:color w:val="000000" w:themeColor="text1"/>
        </w:rPr>
      </w:pPr>
      <w:r w:rsidRPr="00F75F0E">
        <w:rPr>
          <w:color w:val="000000" w:themeColor="text1"/>
        </w:rPr>
        <w:t>Para aquellos proyectos en los que no se puede determinar cuantitativamente los beneficios sociales, la metodología que decide la inversión social es el Costo</w:t>
      </w:r>
      <w:r>
        <w:rPr>
          <w:color w:val="000000" w:themeColor="text1"/>
        </w:rPr>
        <w:t xml:space="preserve"> de </w:t>
      </w:r>
      <w:r w:rsidR="0050449A">
        <w:rPr>
          <w:color w:val="000000" w:themeColor="text1"/>
        </w:rPr>
        <w:t xml:space="preserve">efectividad. </w:t>
      </w:r>
      <w:r>
        <w:rPr>
          <w:color w:val="000000" w:themeColor="text1"/>
        </w:rPr>
        <w:t>Que resulta de la siguiente formula:</w:t>
      </w:r>
    </w:p>
    <w:p w:rsidR="00D54808" w:rsidRPr="002009C4" w:rsidRDefault="00F75F0E" w:rsidP="00094697">
      <w:pPr>
        <w:rPr>
          <w:rFonts w:eastAsiaTheme="minorEastAsia"/>
          <w:color w:val="000000" w:themeColor="text1"/>
        </w:rPr>
      </w:pPr>
      <m:oMathPara>
        <m:oMath>
          <m:r>
            <w:rPr>
              <w:rFonts w:ascii="Cambria Math" w:hAnsi="Cambria Math"/>
              <w:color w:val="000000" w:themeColor="text1"/>
            </w:rPr>
            <m:t>CE=</m:t>
          </m:r>
          <m:f>
            <m:fPr>
              <m:ctrlPr>
                <w:rPr>
                  <w:rFonts w:ascii="Cambria Math" w:hAnsi="Cambria Math"/>
                  <w:i/>
                  <w:color w:val="000000" w:themeColor="text1"/>
                </w:rPr>
              </m:ctrlPr>
            </m:fPr>
            <m:num>
              <m:r>
                <w:rPr>
                  <w:rFonts w:ascii="Cambria Math" w:hAnsi="Cambria Math"/>
                  <w:color w:val="000000" w:themeColor="text1"/>
                </w:rPr>
                <m:t>VACs</m:t>
              </m:r>
            </m:num>
            <m:den>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m:t>
                  </m:r>
                </m:sub>
              </m:sSub>
            </m:den>
          </m:f>
        </m:oMath>
      </m:oMathPara>
    </w:p>
    <w:p w:rsidR="002009C4" w:rsidRPr="002009C4" w:rsidRDefault="002009C4" w:rsidP="00094697">
      <w:pPr>
        <w:rPr>
          <w:rFonts w:eastAsiaTheme="minorEastAsia"/>
          <w:color w:val="000000" w:themeColor="text1"/>
        </w:rPr>
      </w:pPr>
      <m:oMathPara>
        <m:oMath>
          <m:r>
            <w:rPr>
              <w:rFonts w:ascii="Cambria Math" w:hAnsi="Cambria Math"/>
              <w:color w:val="000000" w:themeColor="text1"/>
            </w:rPr>
            <m:t>VACS=</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0</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CS</m:t>
                  </m:r>
                </m:e>
                <m:sub>
                  <m:r>
                    <w:rPr>
                      <w:rFonts w:ascii="Cambria Math" w:hAnsi="Cambria Math"/>
                      <w:color w:val="000000" w:themeColor="text1"/>
                    </w:rPr>
                    <m:t>1</m:t>
                  </m:r>
                </m:sub>
              </m:sSub>
            </m:num>
            <m:den>
              <m:sSup>
                <m:sSupPr>
                  <m:ctrlPr>
                    <w:rPr>
                      <w:rFonts w:ascii="Cambria Math" w:hAnsi="Cambria Math"/>
                      <w:i/>
                      <w:color w:val="000000" w:themeColor="text1"/>
                    </w:rPr>
                  </m:ctrlPr>
                </m:sSupPr>
                <m:e>
                  <m:r>
                    <w:rPr>
                      <w:rFonts w:ascii="Cambria Math" w:hAnsi="Cambria Math"/>
                      <w:color w:val="000000" w:themeColor="text1"/>
                    </w:rPr>
                    <m:t>(1+k)</m:t>
                  </m:r>
                </m:e>
                <m:sup>
                  <m:r>
                    <w:rPr>
                      <w:rFonts w:ascii="Cambria Math" w:hAnsi="Cambria Math"/>
                      <w:color w:val="000000" w:themeColor="text1"/>
                    </w:rPr>
                    <m:t>1</m:t>
                  </m:r>
                </m:sup>
              </m:sSup>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CS</m:t>
                  </m:r>
                </m:e>
                <m:sub>
                  <m:r>
                    <w:rPr>
                      <w:rFonts w:ascii="Cambria Math" w:hAnsi="Cambria Math"/>
                      <w:color w:val="000000" w:themeColor="text1"/>
                    </w:rPr>
                    <m:t>2</m:t>
                  </m:r>
                </m:sub>
              </m:sSub>
            </m:num>
            <m:den>
              <m:sSup>
                <m:sSupPr>
                  <m:ctrlPr>
                    <w:rPr>
                      <w:rFonts w:ascii="Cambria Math" w:hAnsi="Cambria Math"/>
                      <w:i/>
                      <w:color w:val="000000" w:themeColor="text1"/>
                    </w:rPr>
                  </m:ctrlPr>
                </m:sSupPr>
                <m:e>
                  <m:r>
                    <w:rPr>
                      <w:rFonts w:ascii="Cambria Math" w:hAnsi="Cambria Math"/>
                      <w:color w:val="000000" w:themeColor="text1"/>
                    </w:rPr>
                    <m:t>(1+k)</m:t>
                  </m:r>
                </m:e>
                <m:sup>
                  <m:r>
                    <w:rPr>
                      <w:rFonts w:ascii="Cambria Math" w:hAnsi="Cambria Math"/>
                      <w:color w:val="000000" w:themeColor="text1"/>
                    </w:rPr>
                    <m:t>2</m:t>
                  </m:r>
                </m:sup>
              </m:sSup>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CS</m:t>
                  </m:r>
                </m:e>
                <m:sub>
                  <m:r>
                    <w:rPr>
                      <w:rFonts w:ascii="Cambria Math" w:hAnsi="Cambria Math"/>
                      <w:color w:val="000000" w:themeColor="text1"/>
                    </w:rPr>
                    <m:t>n</m:t>
                  </m:r>
                </m:sub>
              </m:sSub>
            </m:num>
            <m:den>
              <m:sSup>
                <m:sSupPr>
                  <m:ctrlPr>
                    <w:rPr>
                      <w:rFonts w:ascii="Cambria Math" w:hAnsi="Cambria Math"/>
                      <w:i/>
                      <w:color w:val="000000" w:themeColor="text1"/>
                    </w:rPr>
                  </m:ctrlPr>
                </m:sSupPr>
                <m:e>
                  <m:r>
                    <w:rPr>
                      <w:rFonts w:ascii="Cambria Math" w:hAnsi="Cambria Math"/>
                      <w:color w:val="000000" w:themeColor="text1"/>
                    </w:rPr>
                    <m:t>(1+k)</m:t>
                  </m:r>
                </m:e>
                <m:sup>
                  <m:r>
                    <w:rPr>
                      <w:rFonts w:ascii="Cambria Math" w:hAnsi="Cambria Math"/>
                      <w:color w:val="000000" w:themeColor="text1"/>
                    </w:rPr>
                    <m:t>n</m:t>
                  </m:r>
                </m:sup>
              </m:sSup>
            </m:den>
          </m:f>
        </m:oMath>
      </m:oMathPara>
    </w:p>
    <w:p w:rsidR="002009C4" w:rsidRDefault="002009C4" w:rsidP="00A72535">
      <w:pPr>
        <w:ind w:left="567"/>
        <w:rPr>
          <w:rFonts w:eastAsiaTheme="minorEastAsia"/>
          <w:color w:val="000000" w:themeColor="text1"/>
        </w:rPr>
      </w:pPr>
      <w:r>
        <w:rPr>
          <w:rFonts w:eastAsiaTheme="minorEastAsia"/>
          <w:color w:val="000000" w:themeColor="text1"/>
        </w:rPr>
        <w:t>VACS: Valor actual de las inversiones y costos sociales</w:t>
      </w:r>
    </w:p>
    <w:p w:rsidR="001937B2" w:rsidRDefault="007F755D" w:rsidP="00A72535">
      <w:pPr>
        <w:ind w:left="567"/>
        <w:rPr>
          <w:rFonts w:eastAsiaTheme="minorEastAsia"/>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E</m:t>
            </m:r>
          </m:sub>
        </m:sSub>
        <m:r>
          <w:rPr>
            <w:rFonts w:ascii="Cambria Math" w:eastAsiaTheme="minorEastAsia" w:hAnsi="Cambria Math"/>
            <w:color w:val="000000" w:themeColor="text1"/>
          </w:rPr>
          <m:t>:</m:t>
        </m:r>
      </m:oMath>
      <w:r w:rsidR="001937B2">
        <w:rPr>
          <w:rFonts w:eastAsiaTheme="minorEastAsia"/>
          <w:color w:val="000000" w:themeColor="text1"/>
        </w:rPr>
        <w:t xml:space="preserve"> Costo de efectividad</w:t>
      </w:r>
    </w:p>
    <w:p w:rsidR="002009C4" w:rsidRDefault="007F755D" w:rsidP="00A72535">
      <w:pPr>
        <w:ind w:left="567"/>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0</m:t>
            </m:r>
          </m:sub>
        </m:sSub>
      </m:oMath>
      <w:r w:rsidR="002009C4">
        <w:rPr>
          <w:rFonts w:eastAsiaTheme="minorEastAsia"/>
          <w:color w:val="000000" w:themeColor="text1"/>
        </w:rPr>
        <w:t>: Inversión en infraestructura</w:t>
      </w:r>
    </w:p>
    <w:p w:rsidR="002009C4" w:rsidRDefault="007F755D" w:rsidP="00A72535">
      <w:pPr>
        <w:ind w:left="567"/>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CS</m:t>
            </m:r>
          </m:e>
          <m:sub>
            <m:r>
              <w:rPr>
                <w:rFonts w:ascii="Cambria Math" w:hAnsi="Cambria Math"/>
                <w:color w:val="000000" w:themeColor="text1"/>
              </w:rPr>
              <m:t>n</m:t>
            </m:r>
          </m:sub>
        </m:sSub>
      </m:oMath>
      <w:r w:rsidR="002009C4">
        <w:rPr>
          <w:rFonts w:eastAsiaTheme="minorEastAsia"/>
          <w:color w:val="000000" w:themeColor="text1"/>
        </w:rPr>
        <w:t>: Costo de operación y mantenimiento a precios sociales en el año n</w:t>
      </w:r>
    </w:p>
    <w:p w:rsidR="002009C4" w:rsidRDefault="002009C4" w:rsidP="00A72535">
      <w:pPr>
        <w:ind w:left="567"/>
        <w:rPr>
          <w:rFonts w:eastAsiaTheme="minorEastAsia"/>
          <w:color w:val="000000" w:themeColor="text1"/>
        </w:rPr>
      </w:pPr>
      <w:proofErr w:type="gramStart"/>
      <w:r>
        <w:rPr>
          <w:rFonts w:eastAsiaTheme="minorEastAsia"/>
          <w:color w:val="000000" w:themeColor="text1"/>
        </w:rPr>
        <w:t>k</w:t>
      </w:r>
      <w:proofErr w:type="gramEnd"/>
      <w:r>
        <w:rPr>
          <w:rFonts w:eastAsiaTheme="minorEastAsia"/>
          <w:color w:val="000000" w:themeColor="text1"/>
        </w:rPr>
        <w:t>: tasa de descuento social</w:t>
      </w:r>
    </w:p>
    <w:p w:rsidR="002009C4" w:rsidRPr="00F75F0E" w:rsidRDefault="007F755D" w:rsidP="00A72535">
      <w:pPr>
        <w:ind w:left="567"/>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m:t>
            </m:r>
          </m:sub>
        </m:sSub>
      </m:oMath>
      <w:r w:rsidR="002009C4">
        <w:rPr>
          <w:rFonts w:eastAsiaTheme="minorEastAsia"/>
          <w:color w:val="000000" w:themeColor="text1"/>
        </w:rPr>
        <w:t>: Índice de efectividad o eficiencia, puede ser número de beneficiarios, kilómetros, hectáreas, metros cuadrados, etc.</w:t>
      </w:r>
      <w:sdt>
        <w:sdtPr>
          <w:rPr>
            <w:rFonts w:eastAsiaTheme="minorEastAsia"/>
            <w:color w:val="000000" w:themeColor="text1"/>
          </w:rPr>
          <w:id w:val="301502491"/>
          <w:citation/>
        </w:sdtPr>
        <w:sdtEndPr/>
        <w:sdtContent>
          <w:r w:rsidR="0050449A">
            <w:rPr>
              <w:rFonts w:eastAsiaTheme="minorEastAsia"/>
              <w:color w:val="000000" w:themeColor="text1"/>
            </w:rPr>
            <w:fldChar w:fldCharType="begin"/>
          </w:r>
          <w:r w:rsidR="0050449A">
            <w:rPr>
              <w:rFonts w:eastAsiaTheme="minorEastAsia"/>
              <w:color w:val="000000" w:themeColor="text1"/>
            </w:rPr>
            <w:instrText xml:space="preserve"> CITATION Car15 \l 10250 </w:instrText>
          </w:r>
          <w:r w:rsidR="0050449A">
            <w:rPr>
              <w:rFonts w:eastAsiaTheme="minorEastAsia"/>
              <w:color w:val="000000" w:themeColor="text1"/>
            </w:rPr>
            <w:fldChar w:fldCharType="separate"/>
          </w:r>
          <w:r w:rsidR="0050449A">
            <w:rPr>
              <w:rFonts w:eastAsiaTheme="minorEastAsia"/>
              <w:noProof/>
              <w:color w:val="000000" w:themeColor="text1"/>
            </w:rPr>
            <w:t xml:space="preserve"> </w:t>
          </w:r>
          <w:r w:rsidR="0050449A" w:rsidRPr="0050449A">
            <w:rPr>
              <w:rFonts w:eastAsiaTheme="minorEastAsia"/>
              <w:noProof/>
              <w:color w:val="000000" w:themeColor="text1"/>
            </w:rPr>
            <w:t>(Carbonel, 2015)</w:t>
          </w:r>
          <w:r w:rsidR="0050449A">
            <w:rPr>
              <w:rFonts w:eastAsiaTheme="minorEastAsia"/>
              <w:color w:val="000000" w:themeColor="text1"/>
            </w:rPr>
            <w:fldChar w:fldCharType="end"/>
          </w:r>
        </w:sdtContent>
      </w:sdt>
    </w:p>
    <w:p w:rsidR="00110A6F" w:rsidRPr="0050449A" w:rsidRDefault="0050449A" w:rsidP="0050449A">
      <w:pPr>
        <w:rPr>
          <w:color w:val="000000" w:themeColor="text1"/>
        </w:rPr>
      </w:pPr>
      <w:r w:rsidRPr="0050449A">
        <w:rPr>
          <w:color w:val="000000" w:themeColor="text1"/>
        </w:rPr>
        <w:t>Luego transformamos los valores de mercado a valores sociales multiplica</w:t>
      </w:r>
      <w:r w:rsidR="006D6696">
        <w:rPr>
          <w:color w:val="000000" w:themeColor="text1"/>
        </w:rPr>
        <w:t>ndo por el factor de corrección, respectivo:</w:t>
      </w:r>
    </w:p>
    <w:p w:rsidR="004C1FE0" w:rsidRDefault="00DD1355" w:rsidP="00DD1355">
      <w:pPr>
        <w:pStyle w:val="Descripcin"/>
      </w:pPr>
      <w:r>
        <w:t xml:space="preserve">Tabla </w:t>
      </w:r>
      <w:r w:rsidR="007F755D">
        <w:fldChar w:fldCharType="begin"/>
      </w:r>
      <w:r w:rsidR="007F755D">
        <w:instrText xml:space="preserve"> SEQ Tabla \* ARABIC </w:instrText>
      </w:r>
      <w:r w:rsidR="007F755D">
        <w:fldChar w:fldCharType="separate"/>
      </w:r>
      <w:r w:rsidR="00A72535">
        <w:rPr>
          <w:noProof/>
        </w:rPr>
        <w:t>3</w:t>
      </w:r>
      <w:r w:rsidR="007F755D">
        <w:rPr>
          <w:noProof/>
        </w:rPr>
        <w:fldChar w:fldCharType="end"/>
      </w:r>
      <w:r>
        <w:t xml:space="preserve">: </w:t>
      </w:r>
      <w:r w:rsidR="00D54808">
        <w:t>I</w:t>
      </w:r>
      <w:r>
        <w:t xml:space="preserve">nversión </w:t>
      </w:r>
      <w:r w:rsidR="00D54808">
        <w:t>para la A</w:t>
      </w:r>
      <w:r w:rsidR="00094697">
        <w:t xml:space="preserve">lternativa 1 </w:t>
      </w:r>
      <w:r>
        <w:t xml:space="preserve">en dólares </w:t>
      </w:r>
    </w:p>
    <w:tbl>
      <w:tblPr>
        <w:tblW w:w="9578" w:type="dxa"/>
        <w:tblCellMar>
          <w:left w:w="70" w:type="dxa"/>
          <w:right w:w="70" w:type="dxa"/>
        </w:tblCellMar>
        <w:tblLook w:val="04A0" w:firstRow="1" w:lastRow="0" w:firstColumn="1" w:lastColumn="0" w:noHBand="0" w:noVBand="1"/>
      </w:tblPr>
      <w:tblGrid>
        <w:gridCol w:w="192"/>
        <w:gridCol w:w="5053"/>
        <w:gridCol w:w="2410"/>
        <w:gridCol w:w="1923"/>
      </w:tblGrid>
      <w:tr w:rsidR="00985591" w:rsidRPr="00206014" w:rsidTr="00A72535">
        <w:trPr>
          <w:trHeight w:val="409"/>
        </w:trPr>
        <w:tc>
          <w:tcPr>
            <w:tcW w:w="5245" w:type="dxa"/>
            <w:gridSpan w:val="2"/>
            <w:tcBorders>
              <w:top w:val="nil"/>
              <w:left w:val="nil"/>
              <w:bottom w:val="single" w:sz="4" w:space="0" w:color="auto"/>
              <w:right w:val="nil"/>
            </w:tcBorders>
            <w:shd w:val="clear" w:color="auto" w:fill="auto"/>
            <w:vAlign w:val="center"/>
            <w:hideMark/>
          </w:tcPr>
          <w:p w:rsidR="00985591" w:rsidRPr="009B3881" w:rsidRDefault="00985591" w:rsidP="00206014">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PRINCIPALES RUBROS</w:t>
            </w:r>
          </w:p>
        </w:tc>
        <w:tc>
          <w:tcPr>
            <w:tcW w:w="2410" w:type="dxa"/>
            <w:tcBorders>
              <w:top w:val="nil"/>
              <w:left w:val="nil"/>
              <w:bottom w:val="single" w:sz="4" w:space="0" w:color="auto"/>
              <w:right w:val="nil"/>
            </w:tcBorders>
            <w:shd w:val="clear" w:color="auto" w:fill="auto"/>
            <w:vAlign w:val="center"/>
            <w:hideMark/>
          </w:tcPr>
          <w:p w:rsidR="00985591" w:rsidRPr="009B3881" w:rsidRDefault="00985591" w:rsidP="00206014">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Costos a precios de mercado</w:t>
            </w:r>
          </w:p>
        </w:tc>
        <w:tc>
          <w:tcPr>
            <w:tcW w:w="1923" w:type="dxa"/>
            <w:tcBorders>
              <w:top w:val="nil"/>
              <w:left w:val="nil"/>
              <w:bottom w:val="single" w:sz="4" w:space="0" w:color="auto"/>
              <w:right w:val="nil"/>
            </w:tcBorders>
            <w:shd w:val="clear" w:color="auto" w:fill="auto"/>
            <w:vAlign w:val="center"/>
            <w:hideMark/>
          </w:tcPr>
          <w:p w:rsidR="00985591" w:rsidRPr="009B3881" w:rsidRDefault="00985591" w:rsidP="00206014">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Costos a precios sociales</w:t>
            </w:r>
          </w:p>
        </w:tc>
      </w:tr>
      <w:tr w:rsidR="00DD5A0B" w:rsidRPr="00206014" w:rsidTr="00A72535">
        <w:trPr>
          <w:trHeight w:val="209"/>
        </w:trPr>
        <w:tc>
          <w:tcPr>
            <w:tcW w:w="5245" w:type="dxa"/>
            <w:gridSpan w:val="2"/>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EXPEDIENTE TECNICO</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10,091.74</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8,133.94</w:t>
            </w:r>
          </w:p>
        </w:tc>
      </w:tr>
      <w:tr w:rsidR="00DD5A0B" w:rsidRPr="00206014" w:rsidTr="00A72535">
        <w:trPr>
          <w:trHeight w:val="272"/>
        </w:trPr>
        <w:tc>
          <w:tcPr>
            <w:tcW w:w="5245" w:type="dxa"/>
            <w:gridSpan w:val="2"/>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COMPONENETES</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701,278.12</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565,230.16</w:t>
            </w:r>
          </w:p>
        </w:tc>
      </w:tr>
      <w:tr w:rsidR="00DD5A0B" w:rsidRPr="00206014" w:rsidTr="00A72535">
        <w:trPr>
          <w:trHeight w:val="209"/>
        </w:trPr>
        <w:tc>
          <w:tcPr>
            <w:tcW w:w="5245" w:type="dxa"/>
            <w:gridSpan w:val="2"/>
            <w:tcBorders>
              <w:top w:val="nil"/>
              <w:left w:val="nil"/>
              <w:bottom w:val="nil"/>
              <w:right w:val="nil"/>
            </w:tcBorders>
            <w:shd w:val="clear" w:color="auto" w:fill="auto"/>
            <w:vAlign w:val="center"/>
            <w:hideMark/>
          </w:tcPr>
          <w:p w:rsidR="00DD5A0B" w:rsidRPr="00DD5A0B" w:rsidRDefault="00DD5A0B"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 xml:space="preserve">1. Construcción de muro de Gaviones de caja con alambre galvanizado de 3.40mm con </w:t>
            </w:r>
            <w:proofErr w:type="spellStart"/>
            <w:r w:rsidRPr="00DD5A0B">
              <w:rPr>
                <w:rFonts w:ascii="Calibri" w:eastAsia="Times New Roman" w:hAnsi="Calibri" w:cs="Calibri"/>
                <w:bCs/>
                <w:color w:val="000000"/>
                <w:lang w:eastAsia="es-PE"/>
              </w:rPr>
              <w:t>rec</w:t>
            </w:r>
            <w:proofErr w:type="spellEnd"/>
            <w:r w:rsidRPr="00DD5A0B">
              <w:rPr>
                <w:rFonts w:ascii="Calibri" w:eastAsia="Times New Roman" w:hAnsi="Calibri" w:cs="Calibri"/>
                <w:bCs/>
                <w:color w:val="000000"/>
                <w:lang w:eastAsia="es-PE"/>
              </w:rPr>
              <w:t xml:space="preserve"> de PVC</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697,149.68</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561,902.64</w:t>
            </w:r>
          </w:p>
        </w:tc>
      </w:tr>
      <w:tr w:rsidR="00DD5A0B" w:rsidRPr="00206014" w:rsidTr="00A72535">
        <w:trPr>
          <w:trHeight w:val="209"/>
        </w:trPr>
        <w:tc>
          <w:tcPr>
            <w:tcW w:w="5245" w:type="dxa"/>
            <w:gridSpan w:val="2"/>
            <w:tcBorders>
              <w:top w:val="nil"/>
              <w:left w:val="nil"/>
              <w:bottom w:val="nil"/>
              <w:right w:val="nil"/>
            </w:tcBorders>
            <w:shd w:val="clear" w:color="auto" w:fill="auto"/>
            <w:noWrap/>
            <w:vAlign w:val="bottom"/>
            <w:hideMark/>
          </w:tcPr>
          <w:p w:rsidR="00DD5A0B" w:rsidRPr="00DD5A0B" w:rsidRDefault="00DD5A0B"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2. Flete</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2,293.58</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1,848.62</w:t>
            </w:r>
          </w:p>
        </w:tc>
      </w:tr>
      <w:tr w:rsidR="00DD5A0B" w:rsidRPr="00206014" w:rsidTr="00A72535">
        <w:trPr>
          <w:trHeight w:val="209"/>
        </w:trPr>
        <w:tc>
          <w:tcPr>
            <w:tcW w:w="5245" w:type="dxa"/>
            <w:gridSpan w:val="2"/>
            <w:tcBorders>
              <w:top w:val="nil"/>
              <w:left w:val="nil"/>
              <w:bottom w:val="nil"/>
              <w:right w:val="nil"/>
            </w:tcBorders>
            <w:shd w:val="clear" w:color="auto" w:fill="auto"/>
            <w:vAlign w:val="bottom"/>
            <w:hideMark/>
          </w:tcPr>
          <w:p w:rsidR="00DD5A0B" w:rsidRPr="00DD5A0B" w:rsidRDefault="00DD5A0B"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3. Programa de capacitación en gestión de riesgos y desastres</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1,834.86</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1,478.90</w:t>
            </w:r>
          </w:p>
        </w:tc>
      </w:tr>
      <w:tr w:rsidR="00DD5A0B" w:rsidRPr="00206014" w:rsidTr="00A72535">
        <w:trPr>
          <w:trHeight w:val="209"/>
        </w:trPr>
        <w:tc>
          <w:tcPr>
            <w:tcW w:w="5245" w:type="dxa"/>
            <w:gridSpan w:val="2"/>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SUPERVICIÓN Y LIQUIDACIÓN DE OBRA</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18,857.10</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15,198.82</w:t>
            </w:r>
          </w:p>
        </w:tc>
      </w:tr>
      <w:tr w:rsidR="00DD5A0B" w:rsidRPr="00206014" w:rsidTr="00A72535">
        <w:trPr>
          <w:trHeight w:val="209"/>
        </w:trPr>
        <w:tc>
          <w:tcPr>
            <w:tcW w:w="5245" w:type="dxa"/>
            <w:gridSpan w:val="2"/>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GASTOS GENERALES + IGV</w:t>
            </w:r>
          </w:p>
        </w:tc>
        <w:tc>
          <w:tcPr>
            <w:tcW w:w="2410"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175,382.84</w:t>
            </w:r>
          </w:p>
        </w:tc>
        <w:tc>
          <w:tcPr>
            <w:tcW w:w="1923" w:type="dxa"/>
            <w:tcBorders>
              <w:top w:val="nil"/>
              <w:left w:val="nil"/>
              <w:bottom w:val="nil"/>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141,358.57</w:t>
            </w:r>
          </w:p>
        </w:tc>
      </w:tr>
      <w:tr w:rsidR="00DD5A0B" w:rsidRPr="00206014" w:rsidTr="00A72535">
        <w:trPr>
          <w:trHeight w:val="209"/>
        </w:trPr>
        <w:tc>
          <w:tcPr>
            <w:tcW w:w="5245" w:type="dxa"/>
            <w:gridSpan w:val="2"/>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UTILIDAD</w:t>
            </w:r>
          </w:p>
        </w:tc>
        <w:tc>
          <w:tcPr>
            <w:tcW w:w="2410" w:type="dxa"/>
            <w:tcBorders>
              <w:top w:val="nil"/>
              <w:left w:val="nil"/>
              <w:bottom w:val="single" w:sz="4" w:space="0" w:color="auto"/>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56,102.25</w:t>
            </w:r>
          </w:p>
        </w:tc>
        <w:tc>
          <w:tcPr>
            <w:tcW w:w="1923" w:type="dxa"/>
            <w:tcBorders>
              <w:top w:val="nil"/>
              <w:left w:val="nil"/>
              <w:bottom w:val="single" w:sz="4" w:space="0" w:color="auto"/>
              <w:right w:val="nil"/>
            </w:tcBorders>
            <w:shd w:val="clear" w:color="auto" w:fill="auto"/>
            <w:noWrap/>
            <w:vAlign w:val="bottom"/>
            <w:hideMark/>
          </w:tcPr>
          <w:p w:rsidR="00DD5A0B" w:rsidRPr="00DD5A0B" w:rsidRDefault="00DD5A0B" w:rsidP="00A72535">
            <w:pPr>
              <w:spacing w:line="240" w:lineRule="auto"/>
              <w:jc w:val="center"/>
              <w:rPr>
                <w:rFonts w:ascii="Calibri" w:hAnsi="Calibri" w:cs="Calibri"/>
                <w:bCs/>
                <w:color w:val="000000"/>
              </w:rPr>
            </w:pPr>
            <w:r w:rsidRPr="00DD5A0B">
              <w:rPr>
                <w:rFonts w:ascii="Calibri" w:hAnsi="Calibri" w:cs="Calibri"/>
                <w:bCs/>
                <w:color w:val="000000"/>
              </w:rPr>
              <w:t>45,218.41</w:t>
            </w:r>
          </w:p>
        </w:tc>
      </w:tr>
      <w:tr w:rsidR="00DD5A0B" w:rsidRPr="00206014" w:rsidTr="00A72535">
        <w:trPr>
          <w:trHeight w:val="209"/>
        </w:trPr>
        <w:tc>
          <w:tcPr>
            <w:tcW w:w="192" w:type="dxa"/>
            <w:tcBorders>
              <w:top w:val="nil"/>
              <w:left w:val="nil"/>
              <w:bottom w:val="nil"/>
              <w:right w:val="nil"/>
            </w:tcBorders>
            <w:shd w:val="clear" w:color="auto" w:fill="auto"/>
            <w:noWrap/>
            <w:vAlign w:val="bottom"/>
            <w:hideMark/>
          </w:tcPr>
          <w:p w:rsidR="00DD5A0B" w:rsidRPr="00206014" w:rsidRDefault="00DD5A0B" w:rsidP="00A72535">
            <w:pPr>
              <w:pStyle w:val="Prrafodelista"/>
              <w:numPr>
                <w:ilvl w:val="0"/>
                <w:numId w:val="5"/>
              </w:numPr>
              <w:spacing w:after="0" w:line="240" w:lineRule="auto"/>
              <w:rPr>
                <w:rFonts w:ascii="Calibri" w:eastAsia="Times New Roman" w:hAnsi="Calibri" w:cs="Calibri"/>
                <w:b/>
                <w:bCs/>
                <w:i/>
                <w:iCs/>
                <w:color w:val="000000"/>
                <w:lang w:eastAsia="es-PE"/>
              </w:rPr>
            </w:pPr>
          </w:p>
        </w:tc>
        <w:tc>
          <w:tcPr>
            <w:tcW w:w="5053" w:type="dxa"/>
            <w:tcBorders>
              <w:top w:val="nil"/>
              <w:left w:val="nil"/>
              <w:bottom w:val="nil"/>
              <w:right w:val="nil"/>
            </w:tcBorders>
            <w:shd w:val="clear" w:color="auto" w:fill="auto"/>
            <w:noWrap/>
            <w:vAlign w:val="bottom"/>
            <w:hideMark/>
          </w:tcPr>
          <w:p w:rsidR="00DD5A0B" w:rsidRDefault="00A72535" w:rsidP="00A72535">
            <w:pPr>
              <w:pStyle w:val="Prrafodelista"/>
              <w:numPr>
                <w:ilvl w:val="0"/>
                <w:numId w:val="15"/>
              </w:numPr>
              <w:spacing w:after="0" w:line="240" w:lineRule="auto"/>
              <w:rPr>
                <w:rFonts w:ascii="Calibri" w:hAnsi="Calibri" w:cs="Calibri"/>
                <w:color w:val="000000"/>
              </w:rPr>
            </w:pPr>
            <w:r w:rsidRPr="00A72535">
              <w:rPr>
                <w:rFonts w:ascii="Calibri" w:eastAsia="Times New Roman" w:hAnsi="Calibri" w:cs="Calibri"/>
                <w:b/>
                <w:bCs/>
                <w:i/>
                <w:iCs/>
                <w:color w:val="000000"/>
                <w:lang w:eastAsia="es-PE"/>
              </w:rPr>
              <w:t>TOTAL</w:t>
            </w:r>
          </w:p>
        </w:tc>
        <w:tc>
          <w:tcPr>
            <w:tcW w:w="2410" w:type="dxa"/>
            <w:tcBorders>
              <w:top w:val="nil"/>
              <w:left w:val="nil"/>
              <w:bottom w:val="nil"/>
              <w:right w:val="nil"/>
            </w:tcBorders>
            <w:shd w:val="clear" w:color="auto" w:fill="auto"/>
            <w:noWrap/>
            <w:vAlign w:val="center"/>
            <w:hideMark/>
          </w:tcPr>
          <w:p w:rsidR="00DD5A0B" w:rsidRPr="00DD5A0B" w:rsidRDefault="00DD5A0B" w:rsidP="00A72535">
            <w:pPr>
              <w:spacing w:line="240" w:lineRule="auto"/>
              <w:jc w:val="center"/>
              <w:rPr>
                <w:rFonts w:ascii="Calibri" w:hAnsi="Calibri" w:cs="Calibri"/>
                <w:color w:val="000000"/>
              </w:rPr>
            </w:pPr>
            <w:r w:rsidRPr="00DD5A0B">
              <w:rPr>
                <w:rFonts w:ascii="Calibri" w:hAnsi="Calibri" w:cs="Calibri"/>
                <w:color w:val="000000"/>
              </w:rPr>
              <w:t>961,712.06</w:t>
            </w:r>
          </w:p>
        </w:tc>
        <w:tc>
          <w:tcPr>
            <w:tcW w:w="1923" w:type="dxa"/>
            <w:tcBorders>
              <w:top w:val="nil"/>
              <w:left w:val="nil"/>
              <w:bottom w:val="nil"/>
              <w:right w:val="nil"/>
            </w:tcBorders>
            <w:shd w:val="clear" w:color="auto" w:fill="auto"/>
            <w:noWrap/>
            <w:vAlign w:val="center"/>
            <w:hideMark/>
          </w:tcPr>
          <w:p w:rsidR="00DD5A0B" w:rsidRPr="00DD5A0B" w:rsidRDefault="00DD5A0B" w:rsidP="00A72535">
            <w:pPr>
              <w:spacing w:after="0" w:line="240" w:lineRule="auto"/>
              <w:jc w:val="center"/>
              <w:rPr>
                <w:rFonts w:ascii="Calibri" w:eastAsia="Times New Roman" w:hAnsi="Calibri" w:cs="Calibri"/>
                <w:color w:val="000000"/>
                <w:lang w:eastAsia="es-PE"/>
              </w:rPr>
            </w:pPr>
            <w:r w:rsidRPr="00DD5A0B">
              <w:rPr>
                <w:rFonts w:ascii="Calibri" w:hAnsi="Calibri" w:cs="Calibri"/>
                <w:color w:val="000000"/>
              </w:rPr>
              <w:t>775,139.92</w:t>
            </w:r>
          </w:p>
        </w:tc>
      </w:tr>
    </w:tbl>
    <w:p w:rsidR="00DD1355" w:rsidRPr="00E0736D" w:rsidRDefault="00DD1355" w:rsidP="00DD1355">
      <w:pPr>
        <w:pStyle w:val="Sinespaciado"/>
        <w:rPr>
          <w:b/>
          <w:sz w:val="20"/>
        </w:rPr>
      </w:pPr>
      <w:r w:rsidRPr="00E0736D">
        <w:rPr>
          <w:b/>
          <w:sz w:val="20"/>
        </w:rPr>
        <w:t>Notas:</w:t>
      </w:r>
    </w:p>
    <w:p w:rsidR="00DD1355" w:rsidRPr="00E0736D" w:rsidRDefault="00CA5107" w:rsidP="00CA5107">
      <w:pPr>
        <w:pStyle w:val="Sinespaciado"/>
        <w:rPr>
          <w:sz w:val="20"/>
        </w:rPr>
      </w:pPr>
      <w:r w:rsidRPr="00E0736D">
        <w:rPr>
          <w:sz w:val="20"/>
        </w:rPr>
        <w:t xml:space="preserve">* </w:t>
      </w:r>
      <w:r w:rsidR="00DD1355" w:rsidRPr="00E0736D">
        <w:rPr>
          <w:sz w:val="20"/>
        </w:rPr>
        <w:t xml:space="preserve">Costos a precios sociales= costos a precios de mercado x </w:t>
      </w:r>
      <w:r w:rsidR="00DD5A0B" w:rsidRPr="00E0736D">
        <w:rPr>
          <w:sz w:val="20"/>
        </w:rPr>
        <w:t>0.806</w:t>
      </w:r>
      <w:r w:rsidR="00DD1355" w:rsidRPr="00E0736D">
        <w:rPr>
          <w:sz w:val="20"/>
        </w:rPr>
        <w:t xml:space="preserve"> </w:t>
      </w:r>
    </w:p>
    <w:p w:rsidR="00DD1355" w:rsidRPr="00E0736D" w:rsidRDefault="00DD1355" w:rsidP="00DD1355">
      <w:pPr>
        <w:pStyle w:val="Sinespaciado"/>
        <w:numPr>
          <w:ilvl w:val="0"/>
          <w:numId w:val="2"/>
        </w:numPr>
        <w:rPr>
          <w:sz w:val="20"/>
        </w:rPr>
      </w:pPr>
      <w:r w:rsidRPr="00E0736D">
        <w:rPr>
          <w:sz w:val="20"/>
        </w:rPr>
        <w:lastRenderedPageBreak/>
        <w:t>= (1)+(2)+(3)</w:t>
      </w:r>
    </w:p>
    <w:p w:rsidR="00DD1355" w:rsidRPr="00E0736D" w:rsidRDefault="00DD1355" w:rsidP="00DD1355">
      <w:pPr>
        <w:pStyle w:val="Sinespaciado"/>
        <w:numPr>
          <w:ilvl w:val="0"/>
          <w:numId w:val="3"/>
        </w:numPr>
        <w:rPr>
          <w:sz w:val="20"/>
        </w:rPr>
      </w:pPr>
      <w:r w:rsidRPr="00E0736D">
        <w:rPr>
          <w:sz w:val="20"/>
        </w:rPr>
        <w:t>= (A)+(B)+(C)+(D)+(E)</w:t>
      </w:r>
    </w:p>
    <w:p w:rsidR="00D06E1D" w:rsidRDefault="00D06E1D" w:rsidP="00D06E1D">
      <w:pPr>
        <w:pStyle w:val="Sinespaciado"/>
      </w:pPr>
    </w:p>
    <w:p w:rsidR="00D06E1D" w:rsidRDefault="00D06E1D" w:rsidP="00D06E1D">
      <w:pPr>
        <w:pStyle w:val="Sinespaciado"/>
      </w:pPr>
    </w:p>
    <w:p w:rsidR="00D54808" w:rsidRDefault="009B3881" w:rsidP="009B3881">
      <w:pPr>
        <w:pStyle w:val="Descripcin"/>
        <w:rPr>
          <w:b w:val="0"/>
        </w:rPr>
      </w:pPr>
      <w:r>
        <w:t xml:space="preserve">Tabla </w:t>
      </w:r>
      <w:r w:rsidR="007F755D">
        <w:fldChar w:fldCharType="begin"/>
      </w:r>
      <w:r w:rsidR="007F755D">
        <w:instrText xml:space="preserve"> SEQ Tabla \* ARABIC </w:instrText>
      </w:r>
      <w:r w:rsidR="007F755D">
        <w:fldChar w:fldCharType="separate"/>
      </w:r>
      <w:r w:rsidR="00A72535">
        <w:rPr>
          <w:noProof/>
        </w:rPr>
        <w:t>4</w:t>
      </w:r>
      <w:r w:rsidR="007F755D">
        <w:rPr>
          <w:noProof/>
        </w:rPr>
        <w:fldChar w:fldCharType="end"/>
      </w:r>
      <w:r>
        <w:t xml:space="preserve">: </w:t>
      </w:r>
      <w:r w:rsidR="00D54808">
        <w:t>Inversión para la Alternativa 2 en dólares</w:t>
      </w:r>
    </w:p>
    <w:tbl>
      <w:tblPr>
        <w:tblW w:w="9609" w:type="dxa"/>
        <w:tblCellMar>
          <w:left w:w="70" w:type="dxa"/>
          <w:right w:w="70" w:type="dxa"/>
        </w:tblCellMar>
        <w:tblLook w:val="04A0" w:firstRow="1" w:lastRow="0" w:firstColumn="1" w:lastColumn="0" w:noHBand="0" w:noVBand="1"/>
      </w:tblPr>
      <w:tblGrid>
        <w:gridCol w:w="194"/>
        <w:gridCol w:w="5051"/>
        <w:gridCol w:w="2552"/>
        <w:gridCol w:w="1812"/>
      </w:tblGrid>
      <w:tr w:rsidR="009B3881" w:rsidRPr="00206014" w:rsidTr="00A72535">
        <w:trPr>
          <w:trHeight w:val="518"/>
        </w:trPr>
        <w:tc>
          <w:tcPr>
            <w:tcW w:w="5245" w:type="dxa"/>
            <w:gridSpan w:val="2"/>
            <w:tcBorders>
              <w:top w:val="nil"/>
              <w:left w:val="nil"/>
              <w:bottom w:val="single" w:sz="4" w:space="0" w:color="auto"/>
              <w:right w:val="nil"/>
            </w:tcBorders>
            <w:shd w:val="clear" w:color="auto" w:fill="auto"/>
            <w:vAlign w:val="center"/>
            <w:hideMark/>
          </w:tcPr>
          <w:p w:rsidR="009B3881" w:rsidRPr="009B3881" w:rsidRDefault="009B3881" w:rsidP="00005DCA">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PRINCIPALES RUBROS</w:t>
            </w:r>
          </w:p>
        </w:tc>
        <w:tc>
          <w:tcPr>
            <w:tcW w:w="2552" w:type="dxa"/>
            <w:tcBorders>
              <w:top w:val="nil"/>
              <w:left w:val="nil"/>
              <w:bottom w:val="single" w:sz="4" w:space="0" w:color="auto"/>
              <w:right w:val="nil"/>
            </w:tcBorders>
            <w:shd w:val="clear" w:color="auto" w:fill="auto"/>
            <w:vAlign w:val="center"/>
            <w:hideMark/>
          </w:tcPr>
          <w:p w:rsidR="009B3881" w:rsidRPr="009B3881" w:rsidRDefault="009B3881" w:rsidP="00005DCA">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Costos a precios de mercado</w:t>
            </w:r>
          </w:p>
        </w:tc>
        <w:tc>
          <w:tcPr>
            <w:tcW w:w="1812" w:type="dxa"/>
            <w:tcBorders>
              <w:top w:val="nil"/>
              <w:left w:val="nil"/>
              <w:bottom w:val="single" w:sz="4" w:space="0" w:color="auto"/>
              <w:right w:val="nil"/>
            </w:tcBorders>
            <w:shd w:val="clear" w:color="auto" w:fill="auto"/>
            <w:vAlign w:val="center"/>
            <w:hideMark/>
          </w:tcPr>
          <w:p w:rsidR="009B3881" w:rsidRPr="009B3881" w:rsidRDefault="009B3881" w:rsidP="00005DCA">
            <w:pPr>
              <w:spacing w:after="0" w:line="240" w:lineRule="auto"/>
              <w:jc w:val="center"/>
              <w:rPr>
                <w:rFonts w:ascii="Calibri" w:eastAsia="Times New Roman" w:hAnsi="Calibri" w:cs="Calibri"/>
                <w:b/>
                <w:bCs/>
                <w:color w:val="002060"/>
                <w:lang w:eastAsia="es-PE"/>
              </w:rPr>
            </w:pPr>
            <w:r w:rsidRPr="009B3881">
              <w:rPr>
                <w:rFonts w:ascii="Calibri" w:eastAsia="Times New Roman" w:hAnsi="Calibri" w:cs="Calibri"/>
                <w:b/>
                <w:bCs/>
                <w:color w:val="002060"/>
                <w:lang w:eastAsia="es-PE"/>
              </w:rPr>
              <w:t>Costos a precios sociales</w:t>
            </w:r>
          </w:p>
        </w:tc>
      </w:tr>
      <w:tr w:rsidR="009B3881" w:rsidRPr="00206014" w:rsidTr="00A72535">
        <w:trPr>
          <w:trHeight w:val="265"/>
        </w:trPr>
        <w:tc>
          <w:tcPr>
            <w:tcW w:w="5245" w:type="dxa"/>
            <w:gridSpan w:val="2"/>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EXPEDIENTE TECNICO</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10,091.74</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8,133.94</w:t>
            </w:r>
          </w:p>
        </w:tc>
      </w:tr>
      <w:tr w:rsidR="009B3881" w:rsidRPr="00206014" w:rsidTr="00A72535">
        <w:trPr>
          <w:trHeight w:val="345"/>
        </w:trPr>
        <w:tc>
          <w:tcPr>
            <w:tcW w:w="5245" w:type="dxa"/>
            <w:gridSpan w:val="2"/>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COMPONENETES</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719,626.74</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580,019.15</w:t>
            </w:r>
          </w:p>
        </w:tc>
      </w:tr>
      <w:tr w:rsidR="009B3881" w:rsidRPr="00206014" w:rsidTr="00A72535">
        <w:trPr>
          <w:trHeight w:val="265"/>
        </w:trPr>
        <w:tc>
          <w:tcPr>
            <w:tcW w:w="5245" w:type="dxa"/>
            <w:gridSpan w:val="2"/>
            <w:tcBorders>
              <w:top w:val="nil"/>
              <w:left w:val="nil"/>
              <w:bottom w:val="nil"/>
              <w:right w:val="nil"/>
            </w:tcBorders>
            <w:shd w:val="clear" w:color="auto" w:fill="auto"/>
            <w:vAlign w:val="center"/>
            <w:hideMark/>
          </w:tcPr>
          <w:p w:rsidR="009B3881" w:rsidRPr="00DD5A0B" w:rsidRDefault="009B3881"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 xml:space="preserve">1. Construcción de muro de Gaviones de caja con alambre galvanizado de 3.40mm con </w:t>
            </w:r>
            <w:proofErr w:type="spellStart"/>
            <w:r w:rsidRPr="00DD5A0B">
              <w:rPr>
                <w:rFonts w:ascii="Calibri" w:eastAsia="Times New Roman" w:hAnsi="Calibri" w:cs="Calibri"/>
                <w:bCs/>
                <w:color w:val="000000"/>
                <w:lang w:eastAsia="es-PE"/>
              </w:rPr>
              <w:t>rec</w:t>
            </w:r>
            <w:proofErr w:type="spellEnd"/>
            <w:r w:rsidRPr="00DD5A0B">
              <w:rPr>
                <w:rFonts w:ascii="Calibri" w:eastAsia="Times New Roman" w:hAnsi="Calibri" w:cs="Calibri"/>
                <w:bCs/>
                <w:color w:val="000000"/>
                <w:lang w:eastAsia="es-PE"/>
              </w:rPr>
              <w:t xml:space="preserve"> de PVC</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715,498.30</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576,691.63</w:t>
            </w:r>
          </w:p>
        </w:tc>
      </w:tr>
      <w:tr w:rsidR="009B3881" w:rsidRPr="00206014" w:rsidTr="00A72535">
        <w:trPr>
          <w:trHeight w:val="265"/>
        </w:trPr>
        <w:tc>
          <w:tcPr>
            <w:tcW w:w="5245" w:type="dxa"/>
            <w:gridSpan w:val="2"/>
            <w:tcBorders>
              <w:top w:val="nil"/>
              <w:left w:val="nil"/>
              <w:bottom w:val="nil"/>
              <w:right w:val="nil"/>
            </w:tcBorders>
            <w:shd w:val="clear" w:color="auto" w:fill="auto"/>
            <w:noWrap/>
            <w:vAlign w:val="bottom"/>
            <w:hideMark/>
          </w:tcPr>
          <w:p w:rsidR="009B3881" w:rsidRPr="00DD5A0B" w:rsidRDefault="009B3881"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2. Flete</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2,293.58</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1,848.62</w:t>
            </w:r>
          </w:p>
        </w:tc>
      </w:tr>
      <w:tr w:rsidR="009B3881" w:rsidRPr="00206014" w:rsidTr="00A72535">
        <w:trPr>
          <w:trHeight w:val="265"/>
        </w:trPr>
        <w:tc>
          <w:tcPr>
            <w:tcW w:w="5245" w:type="dxa"/>
            <w:gridSpan w:val="2"/>
            <w:tcBorders>
              <w:top w:val="nil"/>
              <w:left w:val="nil"/>
              <w:bottom w:val="nil"/>
              <w:right w:val="nil"/>
            </w:tcBorders>
            <w:shd w:val="clear" w:color="auto" w:fill="auto"/>
            <w:vAlign w:val="bottom"/>
            <w:hideMark/>
          </w:tcPr>
          <w:p w:rsidR="009B3881" w:rsidRPr="00DD5A0B" w:rsidRDefault="009B3881" w:rsidP="00A72535">
            <w:pPr>
              <w:spacing w:after="0" w:line="240" w:lineRule="auto"/>
              <w:ind w:left="639"/>
              <w:rPr>
                <w:rFonts w:ascii="Calibri" w:eastAsia="Times New Roman" w:hAnsi="Calibri" w:cs="Calibri"/>
                <w:bCs/>
                <w:color w:val="000000"/>
                <w:lang w:eastAsia="es-PE"/>
              </w:rPr>
            </w:pPr>
            <w:r w:rsidRPr="00DD5A0B">
              <w:rPr>
                <w:rFonts w:ascii="Calibri" w:eastAsia="Times New Roman" w:hAnsi="Calibri" w:cs="Calibri"/>
                <w:bCs/>
                <w:color w:val="000000"/>
                <w:lang w:eastAsia="es-PE"/>
              </w:rPr>
              <w:t>3. Programa de capacitación en gestión de riesgos y desastres</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1,834.86</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1,478.90</w:t>
            </w:r>
          </w:p>
        </w:tc>
      </w:tr>
      <w:tr w:rsidR="009B3881" w:rsidRPr="00206014" w:rsidTr="00A72535">
        <w:trPr>
          <w:trHeight w:val="265"/>
        </w:trPr>
        <w:tc>
          <w:tcPr>
            <w:tcW w:w="5245" w:type="dxa"/>
            <w:gridSpan w:val="2"/>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SUPERVICIÓN Y LIQUIDACIÓN DE OBRA</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19,344.26</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15,591.47</w:t>
            </w:r>
          </w:p>
        </w:tc>
      </w:tr>
      <w:tr w:rsidR="009B3881" w:rsidRPr="00206014" w:rsidTr="00A72535">
        <w:trPr>
          <w:trHeight w:val="265"/>
        </w:trPr>
        <w:tc>
          <w:tcPr>
            <w:tcW w:w="5245" w:type="dxa"/>
            <w:gridSpan w:val="2"/>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GASTOS GENERALES + IGV</w:t>
            </w:r>
          </w:p>
        </w:tc>
        <w:tc>
          <w:tcPr>
            <w:tcW w:w="255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179,924.13</w:t>
            </w:r>
          </w:p>
        </w:tc>
        <w:tc>
          <w:tcPr>
            <w:tcW w:w="1812" w:type="dxa"/>
            <w:tcBorders>
              <w:top w:val="nil"/>
              <w:left w:val="nil"/>
              <w:bottom w:val="nil"/>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145,018.85</w:t>
            </w:r>
          </w:p>
        </w:tc>
      </w:tr>
      <w:tr w:rsidR="009B3881" w:rsidRPr="00206014" w:rsidTr="00A72535">
        <w:trPr>
          <w:trHeight w:val="265"/>
        </w:trPr>
        <w:tc>
          <w:tcPr>
            <w:tcW w:w="5245" w:type="dxa"/>
            <w:gridSpan w:val="2"/>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r w:rsidRPr="00206014">
              <w:rPr>
                <w:rFonts w:ascii="Calibri" w:eastAsia="Times New Roman" w:hAnsi="Calibri" w:cs="Calibri"/>
                <w:b/>
                <w:bCs/>
                <w:i/>
                <w:iCs/>
                <w:color w:val="000000"/>
                <w:lang w:eastAsia="es-PE"/>
              </w:rPr>
              <w:t>UTILIDAD</w:t>
            </w:r>
          </w:p>
        </w:tc>
        <w:tc>
          <w:tcPr>
            <w:tcW w:w="2552" w:type="dxa"/>
            <w:tcBorders>
              <w:top w:val="nil"/>
              <w:left w:val="nil"/>
              <w:bottom w:val="single" w:sz="4" w:space="0" w:color="auto"/>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57,570.14</w:t>
            </w:r>
          </w:p>
        </w:tc>
        <w:tc>
          <w:tcPr>
            <w:tcW w:w="1812" w:type="dxa"/>
            <w:tcBorders>
              <w:top w:val="nil"/>
              <w:left w:val="nil"/>
              <w:bottom w:val="single" w:sz="4" w:space="0" w:color="auto"/>
              <w:right w:val="nil"/>
            </w:tcBorders>
            <w:shd w:val="clear" w:color="auto" w:fill="auto"/>
            <w:noWrap/>
            <w:vAlign w:val="center"/>
            <w:hideMark/>
          </w:tcPr>
          <w:p w:rsidR="009B3881" w:rsidRPr="009B3881" w:rsidRDefault="009B3881" w:rsidP="00A72535">
            <w:pPr>
              <w:spacing w:line="240" w:lineRule="auto"/>
              <w:jc w:val="center"/>
              <w:rPr>
                <w:rFonts w:ascii="Calibri" w:hAnsi="Calibri" w:cs="Calibri"/>
                <w:bCs/>
                <w:color w:val="000000"/>
              </w:rPr>
            </w:pPr>
            <w:r w:rsidRPr="009B3881">
              <w:rPr>
                <w:rFonts w:ascii="Calibri" w:hAnsi="Calibri" w:cs="Calibri"/>
                <w:bCs/>
                <w:color w:val="000000"/>
              </w:rPr>
              <w:t>46,401.53</w:t>
            </w:r>
          </w:p>
        </w:tc>
      </w:tr>
      <w:tr w:rsidR="009B3881" w:rsidRPr="00206014" w:rsidTr="00A72535">
        <w:trPr>
          <w:trHeight w:val="265"/>
        </w:trPr>
        <w:tc>
          <w:tcPr>
            <w:tcW w:w="194" w:type="dxa"/>
            <w:tcBorders>
              <w:top w:val="nil"/>
              <w:left w:val="nil"/>
              <w:bottom w:val="nil"/>
              <w:right w:val="nil"/>
            </w:tcBorders>
            <w:shd w:val="clear" w:color="auto" w:fill="auto"/>
            <w:noWrap/>
            <w:vAlign w:val="bottom"/>
            <w:hideMark/>
          </w:tcPr>
          <w:p w:rsidR="009B3881" w:rsidRPr="00206014" w:rsidRDefault="009B3881" w:rsidP="00A72535">
            <w:pPr>
              <w:pStyle w:val="Prrafodelista"/>
              <w:numPr>
                <w:ilvl w:val="0"/>
                <w:numId w:val="12"/>
              </w:numPr>
              <w:spacing w:after="0" w:line="240" w:lineRule="auto"/>
              <w:rPr>
                <w:rFonts w:ascii="Calibri" w:eastAsia="Times New Roman" w:hAnsi="Calibri" w:cs="Calibri"/>
                <w:b/>
                <w:bCs/>
                <w:i/>
                <w:iCs/>
                <w:color w:val="000000"/>
                <w:lang w:eastAsia="es-PE"/>
              </w:rPr>
            </w:pPr>
          </w:p>
        </w:tc>
        <w:tc>
          <w:tcPr>
            <w:tcW w:w="5051" w:type="dxa"/>
            <w:tcBorders>
              <w:top w:val="nil"/>
              <w:left w:val="nil"/>
              <w:bottom w:val="nil"/>
              <w:right w:val="nil"/>
            </w:tcBorders>
            <w:shd w:val="clear" w:color="auto" w:fill="auto"/>
            <w:noWrap/>
            <w:vAlign w:val="bottom"/>
            <w:hideMark/>
          </w:tcPr>
          <w:p w:rsidR="009B3881" w:rsidRDefault="009B3881" w:rsidP="00A72535">
            <w:pPr>
              <w:pStyle w:val="Prrafodelista"/>
              <w:numPr>
                <w:ilvl w:val="0"/>
                <w:numId w:val="13"/>
              </w:numPr>
              <w:spacing w:after="0" w:line="240" w:lineRule="auto"/>
              <w:rPr>
                <w:rFonts w:ascii="Calibri" w:hAnsi="Calibri" w:cs="Calibri"/>
                <w:color w:val="000000"/>
              </w:rPr>
            </w:pPr>
            <w:r w:rsidRPr="009B3881">
              <w:rPr>
                <w:rFonts w:ascii="Calibri" w:eastAsia="Times New Roman" w:hAnsi="Calibri" w:cs="Calibri"/>
                <w:b/>
                <w:bCs/>
                <w:i/>
                <w:iCs/>
                <w:color w:val="000000"/>
                <w:lang w:eastAsia="es-PE"/>
              </w:rPr>
              <w:t>TOTAL INVERSION</w:t>
            </w:r>
          </w:p>
        </w:tc>
        <w:tc>
          <w:tcPr>
            <w:tcW w:w="2552" w:type="dxa"/>
            <w:tcBorders>
              <w:top w:val="nil"/>
              <w:left w:val="nil"/>
              <w:bottom w:val="nil"/>
              <w:right w:val="nil"/>
            </w:tcBorders>
            <w:shd w:val="clear" w:color="auto" w:fill="auto"/>
            <w:noWrap/>
            <w:vAlign w:val="center"/>
            <w:hideMark/>
          </w:tcPr>
          <w:p w:rsidR="009B3881" w:rsidRDefault="009B3881" w:rsidP="00A72535">
            <w:pPr>
              <w:spacing w:line="240" w:lineRule="auto"/>
              <w:jc w:val="center"/>
              <w:rPr>
                <w:rFonts w:ascii="Calibri" w:hAnsi="Calibri" w:cs="Calibri"/>
                <w:color w:val="000000"/>
              </w:rPr>
            </w:pPr>
            <w:r>
              <w:rPr>
                <w:rFonts w:ascii="Calibri" w:hAnsi="Calibri" w:cs="Calibri"/>
                <w:color w:val="000000"/>
              </w:rPr>
              <w:t>986,557.01</w:t>
            </w:r>
          </w:p>
        </w:tc>
        <w:tc>
          <w:tcPr>
            <w:tcW w:w="1812" w:type="dxa"/>
            <w:tcBorders>
              <w:top w:val="nil"/>
              <w:left w:val="nil"/>
              <w:bottom w:val="nil"/>
              <w:right w:val="nil"/>
            </w:tcBorders>
            <w:shd w:val="clear" w:color="auto" w:fill="auto"/>
            <w:noWrap/>
            <w:vAlign w:val="center"/>
            <w:hideMark/>
          </w:tcPr>
          <w:p w:rsidR="009B3881" w:rsidRPr="00DD5A0B" w:rsidRDefault="009B3881" w:rsidP="00A72535">
            <w:pPr>
              <w:spacing w:after="0" w:line="240" w:lineRule="auto"/>
              <w:jc w:val="center"/>
              <w:rPr>
                <w:rFonts w:ascii="Calibri" w:eastAsia="Times New Roman" w:hAnsi="Calibri" w:cs="Calibri"/>
                <w:color w:val="000000"/>
                <w:lang w:eastAsia="es-PE"/>
              </w:rPr>
            </w:pPr>
            <w:r>
              <w:rPr>
                <w:rFonts w:ascii="Calibri" w:hAnsi="Calibri" w:cs="Calibri"/>
                <w:color w:val="000000"/>
              </w:rPr>
              <w:t>795,164.95</w:t>
            </w:r>
          </w:p>
        </w:tc>
      </w:tr>
    </w:tbl>
    <w:p w:rsidR="00FD7182" w:rsidRPr="00DD1355" w:rsidRDefault="00FD7182" w:rsidP="00FD7182">
      <w:pPr>
        <w:pStyle w:val="Sinespaciado"/>
        <w:rPr>
          <w:b/>
        </w:rPr>
      </w:pPr>
      <w:r w:rsidRPr="00DD1355">
        <w:rPr>
          <w:b/>
        </w:rPr>
        <w:t>Notas:</w:t>
      </w:r>
    </w:p>
    <w:p w:rsidR="00FD7182" w:rsidRDefault="00FD7182" w:rsidP="00FD7182">
      <w:pPr>
        <w:pStyle w:val="Sinespaciado"/>
      </w:pPr>
      <w:r>
        <w:t xml:space="preserve">* Costos a precios sociales= costos a precios de mercado x </w:t>
      </w:r>
      <w:r w:rsidR="009B3881">
        <w:t>0.806</w:t>
      </w:r>
    </w:p>
    <w:p w:rsidR="00FD7182" w:rsidRDefault="00FD7182" w:rsidP="00FD7182">
      <w:pPr>
        <w:pStyle w:val="Sinespaciado"/>
        <w:numPr>
          <w:ilvl w:val="0"/>
          <w:numId w:val="7"/>
        </w:numPr>
      </w:pPr>
      <w:r>
        <w:t>= (1)+(2)+(3)</w:t>
      </w:r>
    </w:p>
    <w:p w:rsidR="00FD7182" w:rsidRDefault="00FD7182" w:rsidP="009B3881">
      <w:pPr>
        <w:pStyle w:val="Sinespaciado"/>
        <w:numPr>
          <w:ilvl w:val="0"/>
          <w:numId w:val="14"/>
        </w:numPr>
      </w:pPr>
      <w:r>
        <w:t>= (A)+(B)+(C)+(D)+(E)</w:t>
      </w:r>
    </w:p>
    <w:p w:rsidR="00FD7182" w:rsidRPr="00D06E1D" w:rsidRDefault="00FD7182" w:rsidP="00D06E1D">
      <w:pPr>
        <w:rPr>
          <w:b/>
        </w:rPr>
      </w:pPr>
    </w:p>
    <w:p w:rsidR="009B3881" w:rsidRDefault="009B3881" w:rsidP="00094697">
      <w:pPr>
        <w:pStyle w:val="Sinespaciado"/>
      </w:pPr>
      <w:r>
        <w:t>Luego calculamos los costos de operación y mantenimiento (O&amp;M) a precios sociales</w:t>
      </w:r>
      <w:r w:rsidR="00A72535">
        <w:t xml:space="preserve"> (que son los mismos para la Alternativa 1 como para la Alternativa 2)</w:t>
      </w:r>
      <w:r>
        <w:t>:</w:t>
      </w:r>
    </w:p>
    <w:p w:rsidR="009B3881" w:rsidRDefault="009B3881" w:rsidP="00094697">
      <w:pPr>
        <w:pStyle w:val="Sinespaciado"/>
      </w:pPr>
    </w:p>
    <w:p w:rsidR="009B3881" w:rsidRDefault="009B3881" w:rsidP="00F25DEF">
      <w:pPr>
        <w:pStyle w:val="Sinespaciado"/>
        <w:jc w:val="center"/>
      </w:pPr>
      <w:r w:rsidRPr="009B3881">
        <w:rPr>
          <w:b/>
        </w:rPr>
        <w:t>Costos de O&amp;M a precio sociales</w:t>
      </w:r>
      <w:r>
        <w:t xml:space="preserve">  = 0.772* Costos de O&amp;M a precios de mercado</w:t>
      </w:r>
    </w:p>
    <w:p w:rsidR="009B3881" w:rsidRDefault="009B3881" w:rsidP="00F25DEF">
      <w:pPr>
        <w:pStyle w:val="Sinespaciado"/>
        <w:jc w:val="center"/>
      </w:pPr>
    </w:p>
    <w:p w:rsidR="009B3881" w:rsidRDefault="009B3881" w:rsidP="00F25DEF">
      <w:pPr>
        <w:jc w:val="center"/>
        <w:rPr>
          <w:rFonts w:ascii="Calibri" w:eastAsia="Times New Roman" w:hAnsi="Calibri" w:cs="Calibri"/>
          <w:b/>
          <w:color w:val="000000"/>
          <w:lang w:eastAsia="es-PE"/>
        </w:rPr>
      </w:pPr>
      <w:r w:rsidRPr="00EF3395">
        <w:rPr>
          <w:b/>
        </w:rPr>
        <w:t>Costos de O&amp;M a precio sociales</w:t>
      </w:r>
      <w:r>
        <w:t xml:space="preserve">  =0.772*$ </w:t>
      </w:r>
      <w:r w:rsidRPr="00DD5A0B">
        <w:t>4</w:t>
      </w:r>
      <w:r>
        <w:t>,</w:t>
      </w:r>
      <w:r w:rsidRPr="00DD5A0B">
        <w:t>564.8</w:t>
      </w:r>
      <w:r>
        <w:t xml:space="preserve"> </w:t>
      </w:r>
    </w:p>
    <w:p w:rsidR="00EF3395" w:rsidRPr="009B3881" w:rsidRDefault="00EF3395" w:rsidP="00F25DEF">
      <w:pPr>
        <w:jc w:val="center"/>
        <w:rPr>
          <w:rFonts w:ascii="Calibri" w:eastAsia="Times New Roman" w:hAnsi="Calibri" w:cs="Calibri"/>
          <w:color w:val="000000"/>
          <w:lang w:eastAsia="es-PE"/>
        </w:rPr>
      </w:pPr>
      <w:r w:rsidRPr="00EF3395">
        <w:rPr>
          <w:b/>
        </w:rPr>
        <w:t>Costos de O&amp;M a precio sociales</w:t>
      </w:r>
      <w:r>
        <w:t xml:space="preserve">  </w:t>
      </w:r>
      <w:r w:rsidRPr="00EF3395">
        <w:rPr>
          <w:b/>
        </w:rPr>
        <w:t>=</w:t>
      </w:r>
      <w:r>
        <w:t xml:space="preserve"> </w:t>
      </w:r>
      <w:r w:rsidRPr="00EF3395">
        <w:rPr>
          <w:b/>
        </w:rPr>
        <w:t>$</w:t>
      </w:r>
      <w:r w:rsidRPr="00EF3395">
        <w:rPr>
          <w:rFonts w:ascii="Calibri" w:eastAsia="Times New Roman" w:hAnsi="Calibri" w:cs="Calibri"/>
          <w:b/>
          <w:color w:val="000000"/>
          <w:lang w:eastAsia="es-PE"/>
        </w:rPr>
        <w:t>3,522.5</w:t>
      </w:r>
    </w:p>
    <w:p w:rsidR="009B3881" w:rsidRDefault="009B3881" w:rsidP="00094697">
      <w:pPr>
        <w:pStyle w:val="Sinespaciado"/>
      </w:pPr>
    </w:p>
    <w:p w:rsidR="00094697" w:rsidRDefault="009B3881" w:rsidP="00094697">
      <w:pPr>
        <w:pStyle w:val="Sinespaciado"/>
      </w:pPr>
      <w:r>
        <w:t>Ahora procedemos a calcular el flujo de costos para ambas alternativas</w:t>
      </w:r>
    </w:p>
    <w:p w:rsidR="009B3881" w:rsidRDefault="009B3881" w:rsidP="00D54808">
      <w:pPr>
        <w:pStyle w:val="Descripcin"/>
      </w:pPr>
    </w:p>
    <w:p w:rsidR="00D54808" w:rsidRDefault="00D54808" w:rsidP="00D54808">
      <w:pPr>
        <w:pStyle w:val="Descripcin"/>
      </w:pPr>
      <w:r>
        <w:t xml:space="preserve">Tabla </w:t>
      </w:r>
      <w:r w:rsidR="007F755D">
        <w:fldChar w:fldCharType="begin"/>
      </w:r>
      <w:r w:rsidR="007F755D">
        <w:instrText xml:space="preserve"> SEQ Tabla \* ARABIC </w:instrText>
      </w:r>
      <w:r w:rsidR="007F755D">
        <w:fldChar w:fldCharType="separate"/>
      </w:r>
      <w:r w:rsidR="00A72535">
        <w:rPr>
          <w:noProof/>
        </w:rPr>
        <w:t>5</w:t>
      </w:r>
      <w:r w:rsidR="007F755D">
        <w:rPr>
          <w:noProof/>
        </w:rPr>
        <w:fldChar w:fldCharType="end"/>
      </w:r>
      <w:r>
        <w:t xml:space="preserve">: Flujo de costos </w:t>
      </w:r>
      <w:r w:rsidR="00EF3395">
        <w:t xml:space="preserve">a precios sociales </w:t>
      </w:r>
      <w:r>
        <w:t>para la Alternativa 1 en dólares</w:t>
      </w:r>
    </w:p>
    <w:tbl>
      <w:tblPr>
        <w:tblStyle w:val="Tablanormal2"/>
        <w:tblW w:w="9912" w:type="dxa"/>
        <w:tblLook w:val="04A0" w:firstRow="1" w:lastRow="0" w:firstColumn="1" w:lastColumn="0" w:noHBand="0" w:noVBand="1"/>
      </w:tblPr>
      <w:tblGrid>
        <w:gridCol w:w="1064"/>
        <w:gridCol w:w="940"/>
        <w:gridCol w:w="798"/>
        <w:gridCol w:w="1003"/>
        <w:gridCol w:w="981"/>
        <w:gridCol w:w="717"/>
        <w:gridCol w:w="981"/>
        <w:gridCol w:w="717"/>
        <w:gridCol w:w="717"/>
        <w:gridCol w:w="717"/>
        <w:gridCol w:w="717"/>
        <w:gridCol w:w="717"/>
      </w:tblGrid>
      <w:tr w:rsidR="003E5C33" w:rsidRPr="003E5C33" w:rsidTr="003E5C33">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 w:type="dxa"/>
          </w:tcPr>
          <w:p w:rsidR="003E5C33" w:rsidRPr="003E5C33" w:rsidRDefault="003E5C33" w:rsidP="00005DCA">
            <w:pPr>
              <w:jc w:val="center"/>
              <w:rPr>
                <w:rFonts w:ascii="Calibri" w:eastAsia="Times New Roman" w:hAnsi="Calibri" w:cs="Calibri"/>
                <w:color w:val="000000"/>
                <w:lang w:eastAsia="es-PE"/>
              </w:rPr>
            </w:pPr>
            <w:r w:rsidRPr="003E5C33">
              <w:rPr>
                <w:rFonts w:ascii="Calibri" w:eastAsia="Times New Roman" w:hAnsi="Calibri" w:cs="Calibri"/>
                <w:color w:val="000000"/>
                <w:lang w:eastAsia="es-PE"/>
              </w:rPr>
              <w:t>Años</w:t>
            </w:r>
          </w:p>
        </w:tc>
        <w:tc>
          <w:tcPr>
            <w:tcW w:w="917"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0</w:t>
            </w:r>
          </w:p>
        </w:tc>
        <w:tc>
          <w:tcPr>
            <w:tcW w:w="798"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1</w:t>
            </w:r>
          </w:p>
        </w:tc>
        <w:tc>
          <w:tcPr>
            <w:tcW w:w="1003"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2</w:t>
            </w:r>
          </w:p>
        </w:tc>
        <w:tc>
          <w:tcPr>
            <w:tcW w:w="981"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4</w:t>
            </w:r>
          </w:p>
        </w:tc>
        <w:tc>
          <w:tcPr>
            <w:tcW w:w="981"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5</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6</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7</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8</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9</w:t>
            </w:r>
          </w:p>
        </w:tc>
        <w:tc>
          <w:tcPr>
            <w:tcW w:w="699" w:type="dxa"/>
            <w:noWrap/>
            <w:hideMark/>
          </w:tcPr>
          <w:p w:rsidR="003E5C33" w:rsidRPr="003E5C33" w:rsidRDefault="003E5C33" w:rsidP="00005D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10</w:t>
            </w:r>
          </w:p>
        </w:tc>
      </w:tr>
      <w:tr w:rsidR="003E5C33" w:rsidRPr="003E5C33" w:rsidTr="003E5C3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 w:type="dxa"/>
          </w:tcPr>
          <w:p w:rsidR="003E5C33" w:rsidRPr="003E5C33" w:rsidRDefault="003E5C33" w:rsidP="00005DCA">
            <w:pPr>
              <w:jc w:val="center"/>
              <w:rPr>
                <w:rFonts w:ascii="Calibri" w:eastAsia="Times New Roman" w:hAnsi="Calibri" w:cs="Calibri"/>
                <w:color w:val="000000"/>
                <w:lang w:eastAsia="es-PE"/>
              </w:rPr>
            </w:pPr>
            <w:r>
              <w:rPr>
                <w:rFonts w:ascii="Calibri" w:eastAsia="Times New Roman" w:hAnsi="Calibri" w:cs="Calibri"/>
                <w:color w:val="000000"/>
                <w:lang w:eastAsia="es-PE"/>
              </w:rPr>
              <w:t>Inversión</w:t>
            </w:r>
          </w:p>
        </w:tc>
        <w:tc>
          <w:tcPr>
            <w:tcW w:w="917" w:type="dxa"/>
            <w:noWrap/>
            <w:hideMark/>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Pr>
                <w:rFonts w:ascii="Calibri" w:hAnsi="Calibri" w:cs="Calibri"/>
                <w:color w:val="000000"/>
              </w:rPr>
              <w:t>775,139</w:t>
            </w:r>
          </w:p>
        </w:tc>
        <w:tc>
          <w:tcPr>
            <w:tcW w:w="798"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003"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981"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981"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99" w:type="dxa"/>
            <w:noWrap/>
          </w:tcPr>
          <w:p w:rsidR="003E5C33" w:rsidRPr="003E5C33" w:rsidRDefault="003E5C33" w:rsidP="00005D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r>
      <w:tr w:rsidR="003E5C33" w:rsidRPr="003E5C33" w:rsidTr="003E5C33">
        <w:trPr>
          <w:trHeight w:val="229"/>
        </w:trPr>
        <w:tc>
          <w:tcPr>
            <w:cnfStyle w:val="001000000000" w:firstRow="0" w:lastRow="0" w:firstColumn="1" w:lastColumn="0" w:oddVBand="0" w:evenVBand="0" w:oddHBand="0" w:evenHBand="0" w:firstRowFirstColumn="0" w:firstRowLastColumn="0" w:lastRowFirstColumn="0" w:lastRowLastColumn="0"/>
            <w:tcW w:w="1038" w:type="dxa"/>
          </w:tcPr>
          <w:p w:rsidR="003E5C33" w:rsidRDefault="003E5C33" w:rsidP="00005DCA">
            <w:pPr>
              <w:jc w:val="center"/>
              <w:rPr>
                <w:rFonts w:ascii="Calibri" w:eastAsia="Times New Roman" w:hAnsi="Calibri" w:cs="Calibri"/>
                <w:color w:val="000000"/>
                <w:lang w:eastAsia="es-PE"/>
              </w:rPr>
            </w:pPr>
            <w:r>
              <w:rPr>
                <w:rFonts w:ascii="Calibri" w:eastAsia="Times New Roman" w:hAnsi="Calibri" w:cs="Calibri"/>
                <w:color w:val="000000"/>
                <w:lang w:eastAsia="es-PE"/>
              </w:rPr>
              <w:t>Costos de O&amp;M</w:t>
            </w:r>
          </w:p>
        </w:tc>
        <w:tc>
          <w:tcPr>
            <w:tcW w:w="917"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798"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1003"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981"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981"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99" w:type="dxa"/>
            <w:noWrap/>
          </w:tcPr>
          <w:p w:rsidR="003E5C33" w:rsidRPr="003E5C33" w:rsidRDefault="003E5C33" w:rsidP="00005D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r>
    </w:tbl>
    <w:p w:rsidR="00A72535" w:rsidRDefault="00A72535" w:rsidP="00F8740B">
      <w:pPr>
        <w:rPr>
          <w:b/>
        </w:rPr>
      </w:pPr>
    </w:p>
    <w:p w:rsidR="00A72535" w:rsidRDefault="00A72535" w:rsidP="00A72535">
      <w:pPr>
        <w:pStyle w:val="Descripcin"/>
      </w:pPr>
      <w:r>
        <w:lastRenderedPageBreak/>
        <w:t xml:space="preserve">Tabla </w:t>
      </w:r>
      <w:r w:rsidR="007F755D">
        <w:fldChar w:fldCharType="begin"/>
      </w:r>
      <w:r w:rsidR="007F755D">
        <w:instrText xml:space="preserve"> SEQ Tabla \* ARABIC </w:instrText>
      </w:r>
      <w:r w:rsidR="007F755D">
        <w:fldChar w:fldCharType="separate"/>
      </w:r>
      <w:r>
        <w:rPr>
          <w:noProof/>
        </w:rPr>
        <w:t>6</w:t>
      </w:r>
      <w:r w:rsidR="007F755D">
        <w:rPr>
          <w:noProof/>
        </w:rPr>
        <w:fldChar w:fldCharType="end"/>
      </w:r>
      <w:r>
        <w:t>:</w:t>
      </w:r>
      <w:r w:rsidRPr="00A72535">
        <w:t xml:space="preserve"> </w:t>
      </w:r>
      <w:r>
        <w:t>Flujo de costos a precios sociales para la Alternativa 1 en dólares</w:t>
      </w:r>
    </w:p>
    <w:tbl>
      <w:tblPr>
        <w:tblStyle w:val="Tablanormal2"/>
        <w:tblW w:w="9372" w:type="dxa"/>
        <w:tblLook w:val="04A0" w:firstRow="1" w:lastRow="0" w:firstColumn="1" w:lastColumn="0" w:noHBand="0" w:noVBand="1"/>
      </w:tblPr>
      <w:tblGrid>
        <w:gridCol w:w="1064"/>
        <w:gridCol w:w="940"/>
        <w:gridCol w:w="781"/>
        <w:gridCol w:w="981"/>
        <w:gridCol w:w="960"/>
        <w:gridCol w:w="717"/>
        <w:gridCol w:w="960"/>
        <w:gridCol w:w="717"/>
        <w:gridCol w:w="717"/>
        <w:gridCol w:w="717"/>
        <w:gridCol w:w="717"/>
        <w:gridCol w:w="717"/>
      </w:tblGrid>
      <w:tr w:rsidR="003E5C33" w:rsidRPr="003E5C33" w:rsidTr="003E5C3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0" w:type="dxa"/>
          </w:tcPr>
          <w:p w:rsidR="003E5C33" w:rsidRPr="003E5C33" w:rsidRDefault="003E5C33" w:rsidP="003E5C33">
            <w:pPr>
              <w:jc w:val="center"/>
              <w:rPr>
                <w:rFonts w:ascii="Calibri" w:eastAsia="Times New Roman" w:hAnsi="Calibri" w:cs="Calibri"/>
                <w:color w:val="000000"/>
                <w:lang w:eastAsia="es-PE"/>
              </w:rPr>
            </w:pPr>
            <w:r w:rsidRPr="003E5C33">
              <w:rPr>
                <w:rFonts w:ascii="Calibri" w:eastAsia="Times New Roman" w:hAnsi="Calibri" w:cs="Calibri"/>
                <w:color w:val="000000"/>
                <w:lang w:eastAsia="es-PE"/>
              </w:rPr>
              <w:t>Años</w:t>
            </w:r>
          </w:p>
        </w:tc>
        <w:tc>
          <w:tcPr>
            <w:tcW w:w="848"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0</w:t>
            </w:r>
          </w:p>
        </w:tc>
        <w:tc>
          <w:tcPr>
            <w:tcW w:w="781"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1</w:t>
            </w:r>
          </w:p>
        </w:tc>
        <w:tc>
          <w:tcPr>
            <w:tcW w:w="981"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2</w:t>
            </w:r>
          </w:p>
        </w:tc>
        <w:tc>
          <w:tcPr>
            <w:tcW w:w="960"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4</w:t>
            </w:r>
          </w:p>
        </w:tc>
        <w:tc>
          <w:tcPr>
            <w:tcW w:w="960"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5</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6</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7</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8</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9</w:t>
            </w:r>
          </w:p>
        </w:tc>
        <w:tc>
          <w:tcPr>
            <w:tcW w:w="647" w:type="dxa"/>
            <w:noWrap/>
            <w:hideMark/>
          </w:tcPr>
          <w:p w:rsidR="003E5C33" w:rsidRPr="003E5C33" w:rsidRDefault="003E5C33" w:rsidP="003E5C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10</w:t>
            </w:r>
          </w:p>
        </w:tc>
      </w:tr>
      <w:tr w:rsidR="003E5C33" w:rsidRPr="003E5C33" w:rsidTr="003E5C3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0" w:type="dxa"/>
          </w:tcPr>
          <w:p w:rsidR="003E5C33" w:rsidRPr="003E5C33" w:rsidRDefault="003E5C33" w:rsidP="003E5C33">
            <w:pPr>
              <w:jc w:val="center"/>
              <w:rPr>
                <w:rFonts w:ascii="Calibri" w:eastAsia="Times New Roman" w:hAnsi="Calibri" w:cs="Calibri"/>
                <w:color w:val="000000"/>
                <w:lang w:eastAsia="es-PE"/>
              </w:rPr>
            </w:pPr>
            <w:r>
              <w:rPr>
                <w:rFonts w:ascii="Calibri" w:eastAsia="Times New Roman" w:hAnsi="Calibri" w:cs="Calibri"/>
                <w:color w:val="000000"/>
                <w:lang w:eastAsia="es-PE"/>
              </w:rPr>
              <w:t>Inversión</w:t>
            </w:r>
          </w:p>
        </w:tc>
        <w:tc>
          <w:tcPr>
            <w:tcW w:w="848" w:type="dxa"/>
            <w:noWrap/>
            <w:hideMark/>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795,165</w:t>
            </w:r>
          </w:p>
        </w:tc>
        <w:tc>
          <w:tcPr>
            <w:tcW w:w="781"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981"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960"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960"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647" w:type="dxa"/>
            <w:noWrap/>
          </w:tcPr>
          <w:p w:rsidR="003E5C33" w:rsidRPr="003E5C33" w:rsidRDefault="003E5C33" w:rsidP="003E5C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r>
      <w:tr w:rsidR="003E5C33" w:rsidRPr="003E5C33" w:rsidTr="003E5C33">
        <w:trPr>
          <w:trHeight w:val="224"/>
        </w:trPr>
        <w:tc>
          <w:tcPr>
            <w:cnfStyle w:val="001000000000" w:firstRow="0" w:lastRow="0" w:firstColumn="1" w:lastColumn="0" w:oddVBand="0" w:evenVBand="0" w:oddHBand="0" w:evenHBand="0" w:firstRowFirstColumn="0" w:firstRowLastColumn="0" w:lastRowFirstColumn="0" w:lastRowLastColumn="0"/>
            <w:tcW w:w="960" w:type="dxa"/>
          </w:tcPr>
          <w:p w:rsidR="003E5C33" w:rsidRDefault="003E5C33" w:rsidP="003E5C33">
            <w:pPr>
              <w:jc w:val="center"/>
              <w:rPr>
                <w:rFonts w:ascii="Calibri" w:eastAsia="Times New Roman" w:hAnsi="Calibri" w:cs="Calibri"/>
                <w:color w:val="000000"/>
                <w:lang w:eastAsia="es-PE"/>
              </w:rPr>
            </w:pPr>
            <w:r>
              <w:rPr>
                <w:rFonts w:ascii="Calibri" w:eastAsia="Times New Roman" w:hAnsi="Calibri" w:cs="Calibri"/>
                <w:color w:val="000000"/>
                <w:lang w:eastAsia="es-PE"/>
              </w:rPr>
              <w:t>Costos de O&amp;M</w:t>
            </w:r>
          </w:p>
        </w:tc>
        <w:tc>
          <w:tcPr>
            <w:tcW w:w="848"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781"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981"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960"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960"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c>
          <w:tcPr>
            <w:tcW w:w="647" w:type="dxa"/>
            <w:noWrap/>
          </w:tcPr>
          <w:p w:rsidR="003E5C33" w:rsidRPr="003E5C33" w:rsidRDefault="003E5C33" w:rsidP="003E5C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E5C33">
              <w:rPr>
                <w:rFonts w:ascii="Calibri" w:eastAsia="Times New Roman" w:hAnsi="Calibri" w:cs="Calibri"/>
                <w:color w:val="000000"/>
                <w:lang w:eastAsia="es-PE"/>
              </w:rPr>
              <w:t>3,523</w:t>
            </w:r>
          </w:p>
        </w:tc>
      </w:tr>
    </w:tbl>
    <w:p w:rsidR="00A72535" w:rsidRDefault="00A72535" w:rsidP="00F8740B">
      <w:pPr>
        <w:rPr>
          <w:b/>
        </w:rPr>
      </w:pPr>
    </w:p>
    <w:p w:rsidR="00F8740B" w:rsidRPr="00EF3395" w:rsidRDefault="00F8740B" w:rsidP="00F8740B">
      <w:pPr>
        <w:rPr>
          <w:b/>
        </w:rPr>
      </w:pPr>
      <w:r w:rsidRPr="00EF3395">
        <w:rPr>
          <w:b/>
        </w:rPr>
        <w:t>Calculo del costo de efectividad:</w:t>
      </w:r>
    </w:p>
    <w:p w:rsidR="00F8740B" w:rsidRPr="00EF3395" w:rsidRDefault="00F8740B" w:rsidP="00F8740B">
      <w:r w:rsidRPr="00EF3395">
        <w:rPr>
          <w:b/>
        </w:rPr>
        <w:t>Para la alternativa 1:</w:t>
      </w:r>
      <w:r w:rsidRPr="00EF3395">
        <w:t xml:space="preserve"> (periodo de análisis, 10 años)</w:t>
      </w:r>
    </w:p>
    <w:p w:rsidR="00EF3395" w:rsidRDefault="00D54808" w:rsidP="00EF3395">
      <w:pPr>
        <w:ind w:firstLine="708"/>
      </w:pPr>
      <w:r>
        <w:t>Valor actual de costos sociales (VACSN)</w:t>
      </w:r>
      <w:r w:rsidR="00EF3395">
        <w:t xml:space="preserve"> </w:t>
      </w:r>
      <w:r w:rsidR="00EF3395" w:rsidRPr="00EF3395">
        <w:rPr>
          <w:vertAlign w:val="subscript"/>
        </w:rPr>
        <w:t>1</w:t>
      </w:r>
      <w:r w:rsidR="00EF3395">
        <w:t xml:space="preserve"> </w:t>
      </w:r>
      <w:r>
        <w:t xml:space="preserve"> </w:t>
      </w:r>
      <w:r w:rsidR="00EF3395">
        <w:t>= -I</w:t>
      </w:r>
      <w:r w:rsidR="00EF3395" w:rsidRPr="00EF3395">
        <w:rPr>
          <w:vertAlign w:val="subscript"/>
        </w:rPr>
        <w:t>1</w:t>
      </w:r>
      <w:r>
        <w:tab/>
      </w:r>
      <w:r w:rsidR="00EF3395">
        <w:t xml:space="preserve">+ </w:t>
      </w:r>
      <w:r w:rsidR="00EF3395" w:rsidRPr="00EF3395">
        <w:t>Costos de O&amp;M</w:t>
      </w:r>
      <w:r w:rsidR="00EF3395">
        <w:t xml:space="preserve"> </w:t>
      </w:r>
      <w:r w:rsidR="00EF3395" w:rsidRPr="00EF3395">
        <w:rPr>
          <w:vertAlign w:val="subscript"/>
        </w:rPr>
        <w:t xml:space="preserve">1 </w:t>
      </w:r>
      <w:r w:rsidR="00EF3395">
        <w:t>(P/A, 10%,10)</w:t>
      </w:r>
    </w:p>
    <w:p w:rsidR="00EF3395" w:rsidRDefault="00EF3395" w:rsidP="00EF3395">
      <w:pPr>
        <w:ind w:firstLine="708"/>
      </w:pPr>
      <w:r>
        <w:t xml:space="preserve">Valor actual de costos sociales (VACSN) </w:t>
      </w:r>
      <w:r w:rsidRPr="00EF3395">
        <w:rPr>
          <w:vertAlign w:val="subscript"/>
        </w:rPr>
        <w:t>1</w:t>
      </w:r>
      <w:r>
        <w:t xml:space="preserve">  = $</w:t>
      </w:r>
      <w:r w:rsidRPr="00EF3395">
        <w:t>796,784</w:t>
      </w:r>
    </w:p>
    <w:p w:rsidR="00EF3395" w:rsidRPr="00EF3395" w:rsidRDefault="007F755D" w:rsidP="00EF3395">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CE</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r>
                <m:rPr>
                  <m:sty m:val="p"/>
                </m:rPr>
                <w:rPr>
                  <w:rFonts w:ascii="Cambria Math" w:hAnsi="Cambria Math"/>
                </w:rPr>
                <m:t>$796,784</m:t>
              </m:r>
            </m:num>
            <m:den>
              <m:r>
                <w:rPr>
                  <w:rFonts w:ascii="Cambria Math" w:hAnsi="Cambria Math"/>
                  <w:color w:val="000000" w:themeColor="text1"/>
                </w:rPr>
                <m:t>1875</m:t>
              </m:r>
            </m:den>
          </m:f>
        </m:oMath>
      </m:oMathPara>
    </w:p>
    <w:p w:rsidR="00EF3395" w:rsidRPr="00EF3395" w:rsidRDefault="007F755D" w:rsidP="00EF3395">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CE</m:t>
              </m:r>
            </m:e>
            <m:sub>
              <m:r>
                <w:rPr>
                  <w:rFonts w:ascii="Cambria Math" w:hAnsi="Cambria Math"/>
                  <w:color w:val="000000" w:themeColor="text1"/>
                </w:rPr>
                <m:t>1</m:t>
              </m:r>
            </m:sub>
          </m:sSub>
          <m:r>
            <w:rPr>
              <w:rFonts w:ascii="Cambria Math" w:hAnsi="Cambria Math"/>
              <w:color w:val="000000" w:themeColor="text1"/>
            </w:rPr>
            <m:t>=424.95</m:t>
          </m:r>
        </m:oMath>
      </m:oMathPara>
    </w:p>
    <w:p w:rsidR="00EF3395" w:rsidRPr="00EF3395" w:rsidRDefault="00EF3395" w:rsidP="00EF3395">
      <w:r w:rsidRPr="00EF3395">
        <w:rPr>
          <w:b/>
        </w:rPr>
        <w:t>Par</w:t>
      </w:r>
      <w:r>
        <w:rPr>
          <w:b/>
        </w:rPr>
        <w:t>a la alternativa 2</w:t>
      </w:r>
      <w:r w:rsidRPr="00EF3395">
        <w:rPr>
          <w:b/>
        </w:rPr>
        <w:t>:</w:t>
      </w:r>
      <w:r w:rsidRPr="00EF3395">
        <w:t xml:space="preserve"> (periodo de análisis, 10 años)</w:t>
      </w:r>
    </w:p>
    <w:p w:rsidR="00EF3395" w:rsidRDefault="00EF3395" w:rsidP="00EF3395">
      <w:pPr>
        <w:ind w:firstLine="708"/>
      </w:pPr>
      <w:r>
        <w:t xml:space="preserve">Valor actual de costos sociales (VACSN) </w:t>
      </w:r>
      <w:r>
        <w:rPr>
          <w:vertAlign w:val="subscript"/>
        </w:rPr>
        <w:t>2</w:t>
      </w:r>
      <w:r>
        <w:t xml:space="preserve">  = -I</w:t>
      </w:r>
      <w:r>
        <w:rPr>
          <w:vertAlign w:val="subscript"/>
        </w:rPr>
        <w:t>2</w:t>
      </w:r>
      <w:r>
        <w:tab/>
        <w:t xml:space="preserve">+ </w:t>
      </w:r>
      <w:r w:rsidRPr="00EF3395">
        <w:t>Costos de O&amp;M</w:t>
      </w:r>
      <w:r>
        <w:t xml:space="preserve"> </w:t>
      </w:r>
      <w:r>
        <w:rPr>
          <w:vertAlign w:val="subscript"/>
        </w:rPr>
        <w:t>2</w:t>
      </w:r>
      <w:r w:rsidRPr="00EF3395">
        <w:rPr>
          <w:vertAlign w:val="subscript"/>
        </w:rPr>
        <w:t xml:space="preserve"> </w:t>
      </w:r>
      <w:r>
        <w:t>(P/A, 10%,10)</w:t>
      </w:r>
    </w:p>
    <w:p w:rsidR="00EF3395" w:rsidRDefault="00EF3395" w:rsidP="00EF3395">
      <w:pPr>
        <w:ind w:firstLine="708"/>
      </w:pPr>
      <w:r>
        <w:t xml:space="preserve">Valor actual de costos sociales (VACSN) </w:t>
      </w:r>
      <w:r>
        <w:rPr>
          <w:vertAlign w:val="subscript"/>
        </w:rPr>
        <w:t>2</w:t>
      </w:r>
      <w:r>
        <w:t xml:space="preserve">  = $</w:t>
      </w:r>
      <w:r w:rsidRPr="00EF3395">
        <w:t xml:space="preserve"> 816,809</w:t>
      </w:r>
    </w:p>
    <w:p w:rsidR="00EF3395" w:rsidRPr="00EF3395" w:rsidRDefault="007F755D" w:rsidP="00EF3395">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CE</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i/>
                  <w:color w:val="000000" w:themeColor="text1"/>
                </w:rPr>
              </m:ctrlPr>
            </m:fPr>
            <m:num>
              <m:r>
                <m:rPr>
                  <m:sty m:val="p"/>
                </m:rPr>
                <w:rPr>
                  <w:rFonts w:ascii="Cambria Math" w:hAnsi="Cambria Math"/>
                </w:rPr>
                <m:t>$816,809</m:t>
              </m:r>
            </m:num>
            <m:den>
              <m:r>
                <w:rPr>
                  <w:rFonts w:ascii="Cambria Math" w:hAnsi="Cambria Math"/>
                  <w:color w:val="000000" w:themeColor="text1"/>
                </w:rPr>
                <m:t>1875</m:t>
              </m:r>
            </m:den>
          </m:f>
        </m:oMath>
      </m:oMathPara>
    </w:p>
    <w:p w:rsidR="00EF3395" w:rsidRPr="00EF3395" w:rsidRDefault="007F755D" w:rsidP="00EF3395">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CE</m:t>
              </m:r>
            </m:e>
            <m:sub>
              <m:r>
                <w:rPr>
                  <w:rFonts w:ascii="Cambria Math" w:hAnsi="Cambria Math"/>
                  <w:color w:val="000000" w:themeColor="text1"/>
                </w:rPr>
                <m:t>2</m:t>
              </m:r>
            </m:sub>
          </m:sSub>
          <m:r>
            <w:rPr>
              <w:rFonts w:ascii="Cambria Math" w:hAnsi="Cambria Math"/>
              <w:color w:val="000000" w:themeColor="text1"/>
            </w:rPr>
            <m:t>=435.63</m:t>
          </m:r>
        </m:oMath>
      </m:oMathPara>
    </w:p>
    <w:p w:rsidR="005E771B" w:rsidRPr="007A5CE0" w:rsidRDefault="00E87FB8" w:rsidP="00EF3395">
      <w:pPr>
        <w:ind w:firstLine="708"/>
        <w:rPr>
          <w:b/>
          <w:color w:val="002060"/>
        </w:rPr>
      </w:pPr>
      <w:r w:rsidRPr="007A5CE0">
        <w:rPr>
          <w:b/>
          <w:color w:val="002060"/>
        </w:rPr>
        <w:t>CONCLUSION:</w:t>
      </w:r>
    </w:p>
    <w:p w:rsidR="00E87FB8" w:rsidRPr="00A72535" w:rsidRDefault="00E87FB8" w:rsidP="007A5CE0">
      <w:pPr>
        <w:ind w:left="709"/>
        <w:jc w:val="both"/>
      </w:pPr>
      <w:r>
        <w:t>De</w:t>
      </w:r>
      <w:r w:rsidR="00A72535">
        <w:t xml:space="preserve"> los</w:t>
      </w:r>
      <w:r>
        <w:t xml:space="preserve"> resultados obtenidos la decisión final será seleccionar la alternativa que tenga el menor costo de efectividad, es decir seleccionamos la Alternativa</w:t>
      </w:r>
      <w:r w:rsidR="00A72535" w:rsidRPr="00A72535">
        <w:t xml:space="preserve"> </w:t>
      </w:r>
      <w:r w:rsidR="00A72535">
        <w:t>1.</w:t>
      </w:r>
    </w:p>
    <w:p w:rsidR="00D54808" w:rsidRDefault="00D54808" w:rsidP="00D54808">
      <w:pPr>
        <w:ind w:firstLine="708"/>
      </w:pPr>
    </w:p>
    <w:p w:rsidR="005E771B" w:rsidRDefault="005E771B" w:rsidP="00D54808">
      <w:pPr>
        <w:ind w:firstLine="708"/>
      </w:pPr>
    </w:p>
    <w:p w:rsidR="005E771B" w:rsidRDefault="005E771B" w:rsidP="00D54808">
      <w:pPr>
        <w:ind w:firstLine="708"/>
      </w:pPr>
    </w:p>
    <w:sectPr w:rsidR="005E7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B6A5C"/>
    <w:multiLevelType w:val="hybridMultilevel"/>
    <w:tmpl w:val="124C4EAA"/>
    <w:lvl w:ilvl="0" w:tplc="A18CF23C">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4772DC2"/>
    <w:multiLevelType w:val="hybridMultilevel"/>
    <w:tmpl w:val="4C6E6686"/>
    <w:lvl w:ilvl="0" w:tplc="797271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6193A39"/>
    <w:multiLevelType w:val="hybridMultilevel"/>
    <w:tmpl w:val="B2B8B01E"/>
    <w:lvl w:ilvl="0" w:tplc="B4A217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9765859"/>
    <w:multiLevelType w:val="hybridMultilevel"/>
    <w:tmpl w:val="9D067066"/>
    <w:lvl w:ilvl="0" w:tplc="53066890">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2011629"/>
    <w:multiLevelType w:val="hybridMultilevel"/>
    <w:tmpl w:val="B628C4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A963D59"/>
    <w:multiLevelType w:val="hybridMultilevel"/>
    <w:tmpl w:val="8AAA3F26"/>
    <w:lvl w:ilvl="0" w:tplc="C688ED26">
      <w:start w:val="6"/>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D37014"/>
    <w:multiLevelType w:val="hybridMultilevel"/>
    <w:tmpl w:val="124C4EAA"/>
    <w:lvl w:ilvl="0" w:tplc="A18CF23C">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6B67801"/>
    <w:multiLevelType w:val="hybridMultilevel"/>
    <w:tmpl w:val="926CCD9C"/>
    <w:lvl w:ilvl="0" w:tplc="797271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79276A1"/>
    <w:multiLevelType w:val="hybridMultilevel"/>
    <w:tmpl w:val="4DE4A0F6"/>
    <w:lvl w:ilvl="0" w:tplc="B3C890AA">
      <w:start w:val="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8EF39AB"/>
    <w:multiLevelType w:val="hybridMultilevel"/>
    <w:tmpl w:val="48184564"/>
    <w:lvl w:ilvl="0" w:tplc="61B6FFC4">
      <w:start w:val="6"/>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245641D"/>
    <w:multiLevelType w:val="hybridMultilevel"/>
    <w:tmpl w:val="F640C12A"/>
    <w:lvl w:ilvl="0" w:tplc="D868BB9A">
      <w:start w:val="6"/>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A274E0D"/>
    <w:multiLevelType w:val="hybridMultilevel"/>
    <w:tmpl w:val="55F038AC"/>
    <w:lvl w:ilvl="0" w:tplc="99909BC0">
      <w:start w:val="6"/>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D0605F4"/>
    <w:multiLevelType w:val="hybridMultilevel"/>
    <w:tmpl w:val="926CCD9C"/>
    <w:lvl w:ilvl="0" w:tplc="797271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79C271B"/>
    <w:multiLevelType w:val="hybridMultilevel"/>
    <w:tmpl w:val="F640C12A"/>
    <w:lvl w:ilvl="0" w:tplc="D868BB9A">
      <w:start w:val="6"/>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B5E3FAE"/>
    <w:multiLevelType w:val="hybridMultilevel"/>
    <w:tmpl w:val="799E44FA"/>
    <w:lvl w:ilvl="0" w:tplc="B9AEEB56">
      <w:start w:val="6"/>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8"/>
  </w:num>
  <w:num w:numId="5">
    <w:abstractNumId w:val="12"/>
  </w:num>
  <w:num w:numId="6">
    <w:abstractNumId w:val="5"/>
  </w:num>
  <w:num w:numId="7">
    <w:abstractNumId w:val="0"/>
  </w:num>
  <w:num w:numId="8">
    <w:abstractNumId w:val="1"/>
  </w:num>
  <w:num w:numId="9">
    <w:abstractNumId w:val="9"/>
  </w:num>
  <w:num w:numId="10">
    <w:abstractNumId w:val="4"/>
  </w:num>
  <w:num w:numId="11">
    <w:abstractNumId w:val="3"/>
  </w:num>
  <w:num w:numId="12">
    <w:abstractNumId w:val="7"/>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55"/>
    <w:rsid w:val="00094697"/>
    <w:rsid w:val="00110A6F"/>
    <w:rsid w:val="001937B2"/>
    <w:rsid w:val="002009C4"/>
    <w:rsid w:val="00206014"/>
    <w:rsid w:val="002B5CDD"/>
    <w:rsid w:val="002D5334"/>
    <w:rsid w:val="00323C26"/>
    <w:rsid w:val="003B2E19"/>
    <w:rsid w:val="003E5C33"/>
    <w:rsid w:val="003F604C"/>
    <w:rsid w:val="00400225"/>
    <w:rsid w:val="004C1FE0"/>
    <w:rsid w:val="0050449A"/>
    <w:rsid w:val="0057089C"/>
    <w:rsid w:val="005A7BF7"/>
    <w:rsid w:val="005E771B"/>
    <w:rsid w:val="006A203C"/>
    <w:rsid w:val="006A3C58"/>
    <w:rsid w:val="006D6696"/>
    <w:rsid w:val="007376F8"/>
    <w:rsid w:val="007A5CE0"/>
    <w:rsid w:val="007F755D"/>
    <w:rsid w:val="00856F8B"/>
    <w:rsid w:val="009235DA"/>
    <w:rsid w:val="00924D4E"/>
    <w:rsid w:val="00985591"/>
    <w:rsid w:val="009B3881"/>
    <w:rsid w:val="009C0A78"/>
    <w:rsid w:val="009E7F6E"/>
    <w:rsid w:val="00A62B15"/>
    <w:rsid w:val="00A72535"/>
    <w:rsid w:val="00A73DFA"/>
    <w:rsid w:val="00AA6FB8"/>
    <w:rsid w:val="00AB72D0"/>
    <w:rsid w:val="00C010EA"/>
    <w:rsid w:val="00C167CB"/>
    <w:rsid w:val="00C764FD"/>
    <w:rsid w:val="00C95192"/>
    <w:rsid w:val="00CA5107"/>
    <w:rsid w:val="00D06E1D"/>
    <w:rsid w:val="00D54808"/>
    <w:rsid w:val="00DC580E"/>
    <w:rsid w:val="00DD1355"/>
    <w:rsid w:val="00DD5A0B"/>
    <w:rsid w:val="00DE3C85"/>
    <w:rsid w:val="00E0736D"/>
    <w:rsid w:val="00E16D99"/>
    <w:rsid w:val="00E769C4"/>
    <w:rsid w:val="00E81F09"/>
    <w:rsid w:val="00E87FB8"/>
    <w:rsid w:val="00EF3395"/>
    <w:rsid w:val="00F25DEF"/>
    <w:rsid w:val="00F75F0E"/>
    <w:rsid w:val="00F8740B"/>
    <w:rsid w:val="00FD71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2693-2748-4E13-9554-2C619B6C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1355"/>
    <w:pPr>
      <w:ind w:left="720"/>
      <w:contextualSpacing/>
    </w:pPr>
  </w:style>
  <w:style w:type="paragraph" w:styleId="Descripcin">
    <w:name w:val="caption"/>
    <w:basedOn w:val="Normal"/>
    <w:next w:val="Normal"/>
    <w:uiPriority w:val="35"/>
    <w:unhideWhenUsed/>
    <w:qFormat/>
    <w:rsid w:val="00DD1355"/>
    <w:pPr>
      <w:spacing w:after="200" w:line="240" w:lineRule="auto"/>
    </w:pPr>
    <w:rPr>
      <w:b/>
      <w:i/>
      <w:iCs/>
      <w:color w:val="44546A" w:themeColor="text2"/>
      <w:szCs w:val="18"/>
    </w:rPr>
  </w:style>
  <w:style w:type="paragraph" w:styleId="Sinespaciado">
    <w:name w:val="No Spacing"/>
    <w:uiPriority w:val="1"/>
    <w:qFormat/>
    <w:rsid w:val="00DD1355"/>
    <w:pPr>
      <w:spacing w:after="0" w:line="240" w:lineRule="auto"/>
    </w:pPr>
  </w:style>
  <w:style w:type="character" w:styleId="Textodelmarcadordeposicin">
    <w:name w:val="Placeholder Text"/>
    <w:basedOn w:val="Fuentedeprrafopredeter"/>
    <w:uiPriority w:val="99"/>
    <w:semiHidden/>
    <w:rsid w:val="00094697"/>
    <w:rPr>
      <w:color w:val="808080"/>
    </w:rPr>
  </w:style>
  <w:style w:type="table" w:styleId="Tablanormal2">
    <w:name w:val="Plain Table 2"/>
    <w:basedOn w:val="Tablanormal"/>
    <w:uiPriority w:val="42"/>
    <w:rsid w:val="00AB72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A6F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3764">
      <w:bodyDiv w:val="1"/>
      <w:marLeft w:val="0"/>
      <w:marRight w:val="0"/>
      <w:marTop w:val="0"/>
      <w:marBottom w:val="0"/>
      <w:divBdr>
        <w:top w:val="none" w:sz="0" w:space="0" w:color="auto"/>
        <w:left w:val="none" w:sz="0" w:space="0" w:color="auto"/>
        <w:bottom w:val="none" w:sz="0" w:space="0" w:color="auto"/>
        <w:right w:val="none" w:sz="0" w:space="0" w:color="auto"/>
      </w:divBdr>
    </w:div>
    <w:div w:id="487406538">
      <w:bodyDiv w:val="1"/>
      <w:marLeft w:val="0"/>
      <w:marRight w:val="0"/>
      <w:marTop w:val="0"/>
      <w:marBottom w:val="0"/>
      <w:divBdr>
        <w:top w:val="none" w:sz="0" w:space="0" w:color="auto"/>
        <w:left w:val="none" w:sz="0" w:space="0" w:color="auto"/>
        <w:bottom w:val="none" w:sz="0" w:space="0" w:color="auto"/>
        <w:right w:val="none" w:sz="0" w:space="0" w:color="auto"/>
      </w:divBdr>
    </w:div>
    <w:div w:id="593318444">
      <w:bodyDiv w:val="1"/>
      <w:marLeft w:val="0"/>
      <w:marRight w:val="0"/>
      <w:marTop w:val="0"/>
      <w:marBottom w:val="0"/>
      <w:divBdr>
        <w:top w:val="none" w:sz="0" w:space="0" w:color="auto"/>
        <w:left w:val="none" w:sz="0" w:space="0" w:color="auto"/>
        <w:bottom w:val="none" w:sz="0" w:space="0" w:color="auto"/>
        <w:right w:val="none" w:sz="0" w:space="0" w:color="auto"/>
      </w:divBdr>
    </w:div>
    <w:div w:id="691416793">
      <w:bodyDiv w:val="1"/>
      <w:marLeft w:val="0"/>
      <w:marRight w:val="0"/>
      <w:marTop w:val="0"/>
      <w:marBottom w:val="0"/>
      <w:divBdr>
        <w:top w:val="none" w:sz="0" w:space="0" w:color="auto"/>
        <w:left w:val="none" w:sz="0" w:space="0" w:color="auto"/>
        <w:bottom w:val="none" w:sz="0" w:space="0" w:color="auto"/>
        <w:right w:val="none" w:sz="0" w:space="0" w:color="auto"/>
      </w:divBdr>
    </w:div>
    <w:div w:id="732460310">
      <w:bodyDiv w:val="1"/>
      <w:marLeft w:val="0"/>
      <w:marRight w:val="0"/>
      <w:marTop w:val="0"/>
      <w:marBottom w:val="0"/>
      <w:divBdr>
        <w:top w:val="none" w:sz="0" w:space="0" w:color="auto"/>
        <w:left w:val="none" w:sz="0" w:space="0" w:color="auto"/>
        <w:bottom w:val="none" w:sz="0" w:space="0" w:color="auto"/>
        <w:right w:val="none" w:sz="0" w:space="0" w:color="auto"/>
      </w:divBdr>
    </w:div>
    <w:div w:id="990212113">
      <w:bodyDiv w:val="1"/>
      <w:marLeft w:val="0"/>
      <w:marRight w:val="0"/>
      <w:marTop w:val="0"/>
      <w:marBottom w:val="0"/>
      <w:divBdr>
        <w:top w:val="none" w:sz="0" w:space="0" w:color="auto"/>
        <w:left w:val="none" w:sz="0" w:space="0" w:color="auto"/>
        <w:bottom w:val="none" w:sz="0" w:space="0" w:color="auto"/>
        <w:right w:val="none" w:sz="0" w:space="0" w:color="auto"/>
      </w:divBdr>
    </w:div>
    <w:div w:id="1071539667">
      <w:bodyDiv w:val="1"/>
      <w:marLeft w:val="0"/>
      <w:marRight w:val="0"/>
      <w:marTop w:val="0"/>
      <w:marBottom w:val="0"/>
      <w:divBdr>
        <w:top w:val="none" w:sz="0" w:space="0" w:color="auto"/>
        <w:left w:val="none" w:sz="0" w:space="0" w:color="auto"/>
        <w:bottom w:val="none" w:sz="0" w:space="0" w:color="auto"/>
        <w:right w:val="none" w:sz="0" w:space="0" w:color="auto"/>
      </w:divBdr>
    </w:div>
    <w:div w:id="1134761335">
      <w:bodyDiv w:val="1"/>
      <w:marLeft w:val="0"/>
      <w:marRight w:val="0"/>
      <w:marTop w:val="0"/>
      <w:marBottom w:val="0"/>
      <w:divBdr>
        <w:top w:val="none" w:sz="0" w:space="0" w:color="auto"/>
        <w:left w:val="none" w:sz="0" w:space="0" w:color="auto"/>
        <w:bottom w:val="none" w:sz="0" w:space="0" w:color="auto"/>
        <w:right w:val="none" w:sz="0" w:space="0" w:color="auto"/>
      </w:divBdr>
    </w:div>
    <w:div w:id="1309744271">
      <w:bodyDiv w:val="1"/>
      <w:marLeft w:val="0"/>
      <w:marRight w:val="0"/>
      <w:marTop w:val="0"/>
      <w:marBottom w:val="0"/>
      <w:divBdr>
        <w:top w:val="none" w:sz="0" w:space="0" w:color="auto"/>
        <w:left w:val="none" w:sz="0" w:space="0" w:color="auto"/>
        <w:bottom w:val="none" w:sz="0" w:space="0" w:color="auto"/>
        <w:right w:val="none" w:sz="0" w:space="0" w:color="auto"/>
      </w:divBdr>
    </w:div>
    <w:div w:id="1356689910">
      <w:bodyDiv w:val="1"/>
      <w:marLeft w:val="0"/>
      <w:marRight w:val="0"/>
      <w:marTop w:val="0"/>
      <w:marBottom w:val="0"/>
      <w:divBdr>
        <w:top w:val="none" w:sz="0" w:space="0" w:color="auto"/>
        <w:left w:val="none" w:sz="0" w:space="0" w:color="auto"/>
        <w:bottom w:val="none" w:sz="0" w:space="0" w:color="auto"/>
        <w:right w:val="none" w:sz="0" w:space="0" w:color="auto"/>
      </w:divBdr>
    </w:div>
    <w:div w:id="1434324851">
      <w:bodyDiv w:val="1"/>
      <w:marLeft w:val="0"/>
      <w:marRight w:val="0"/>
      <w:marTop w:val="0"/>
      <w:marBottom w:val="0"/>
      <w:divBdr>
        <w:top w:val="none" w:sz="0" w:space="0" w:color="auto"/>
        <w:left w:val="none" w:sz="0" w:space="0" w:color="auto"/>
        <w:bottom w:val="none" w:sz="0" w:space="0" w:color="auto"/>
        <w:right w:val="none" w:sz="0" w:space="0" w:color="auto"/>
      </w:divBdr>
    </w:div>
    <w:div w:id="1440759500">
      <w:bodyDiv w:val="1"/>
      <w:marLeft w:val="0"/>
      <w:marRight w:val="0"/>
      <w:marTop w:val="0"/>
      <w:marBottom w:val="0"/>
      <w:divBdr>
        <w:top w:val="none" w:sz="0" w:space="0" w:color="auto"/>
        <w:left w:val="none" w:sz="0" w:space="0" w:color="auto"/>
        <w:bottom w:val="none" w:sz="0" w:space="0" w:color="auto"/>
        <w:right w:val="none" w:sz="0" w:space="0" w:color="auto"/>
      </w:divBdr>
    </w:div>
    <w:div w:id="1549995798">
      <w:bodyDiv w:val="1"/>
      <w:marLeft w:val="0"/>
      <w:marRight w:val="0"/>
      <w:marTop w:val="0"/>
      <w:marBottom w:val="0"/>
      <w:divBdr>
        <w:top w:val="none" w:sz="0" w:space="0" w:color="auto"/>
        <w:left w:val="none" w:sz="0" w:space="0" w:color="auto"/>
        <w:bottom w:val="none" w:sz="0" w:space="0" w:color="auto"/>
        <w:right w:val="none" w:sz="0" w:space="0" w:color="auto"/>
      </w:divBdr>
    </w:div>
    <w:div w:id="1592660501">
      <w:bodyDiv w:val="1"/>
      <w:marLeft w:val="0"/>
      <w:marRight w:val="0"/>
      <w:marTop w:val="0"/>
      <w:marBottom w:val="0"/>
      <w:divBdr>
        <w:top w:val="none" w:sz="0" w:space="0" w:color="auto"/>
        <w:left w:val="none" w:sz="0" w:space="0" w:color="auto"/>
        <w:bottom w:val="none" w:sz="0" w:space="0" w:color="auto"/>
        <w:right w:val="none" w:sz="0" w:space="0" w:color="auto"/>
      </w:divBdr>
    </w:div>
    <w:div w:id="1712530327">
      <w:bodyDiv w:val="1"/>
      <w:marLeft w:val="0"/>
      <w:marRight w:val="0"/>
      <w:marTop w:val="0"/>
      <w:marBottom w:val="0"/>
      <w:divBdr>
        <w:top w:val="none" w:sz="0" w:space="0" w:color="auto"/>
        <w:left w:val="none" w:sz="0" w:space="0" w:color="auto"/>
        <w:bottom w:val="none" w:sz="0" w:space="0" w:color="auto"/>
        <w:right w:val="none" w:sz="0" w:space="0" w:color="auto"/>
      </w:divBdr>
    </w:div>
    <w:div w:id="1732582843">
      <w:bodyDiv w:val="1"/>
      <w:marLeft w:val="0"/>
      <w:marRight w:val="0"/>
      <w:marTop w:val="0"/>
      <w:marBottom w:val="0"/>
      <w:divBdr>
        <w:top w:val="none" w:sz="0" w:space="0" w:color="auto"/>
        <w:left w:val="none" w:sz="0" w:space="0" w:color="auto"/>
        <w:bottom w:val="none" w:sz="0" w:space="0" w:color="auto"/>
        <w:right w:val="none" w:sz="0" w:space="0" w:color="auto"/>
      </w:divBdr>
    </w:div>
    <w:div w:id="1761946247">
      <w:bodyDiv w:val="1"/>
      <w:marLeft w:val="0"/>
      <w:marRight w:val="0"/>
      <w:marTop w:val="0"/>
      <w:marBottom w:val="0"/>
      <w:divBdr>
        <w:top w:val="none" w:sz="0" w:space="0" w:color="auto"/>
        <w:left w:val="none" w:sz="0" w:space="0" w:color="auto"/>
        <w:bottom w:val="none" w:sz="0" w:space="0" w:color="auto"/>
        <w:right w:val="none" w:sz="0" w:space="0" w:color="auto"/>
      </w:divBdr>
    </w:div>
    <w:div w:id="1921284877">
      <w:bodyDiv w:val="1"/>
      <w:marLeft w:val="0"/>
      <w:marRight w:val="0"/>
      <w:marTop w:val="0"/>
      <w:marBottom w:val="0"/>
      <w:divBdr>
        <w:top w:val="none" w:sz="0" w:space="0" w:color="auto"/>
        <w:left w:val="none" w:sz="0" w:space="0" w:color="auto"/>
        <w:bottom w:val="none" w:sz="0" w:space="0" w:color="auto"/>
        <w:right w:val="none" w:sz="0" w:space="0" w:color="auto"/>
      </w:divBdr>
    </w:div>
    <w:div w:id="1952936376">
      <w:bodyDiv w:val="1"/>
      <w:marLeft w:val="0"/>
      <w:marRight w:val="0"/>
      <w:marTop w:val="0"/>
      <w:marBottom w:val="0"/>
      <w:divBdr>
        <w:top w:val="none" w:sz="0" w:space="0" w:color="auto"/>
        <w:left w:val="none" w:sz="0" w:space="0" w:color="auto"/>
        <w:bottom w:val="none" w:sz="0" w:space="0" w:color="auto"/>
        <w:right w:val="none" w:sz="0" w:space="0" w:color="auto"/>
      </w:divBdr>
    </w:div>
    <w:div w:id="2106490267">
      <w:bodyDiv w:val="1"/>
      <w:marLeft w:val="0"/>
      <w:marRight w:val="0"/>
      <w:marTop w:val="0"/>
      <w:marBottom w:val="0"/>
      <w:divBdr>
        <w:top w:val="none" w:sz="0" w:space="0" w:color="auto"/>
        <w:left w:val="none" w:sz="0" w:space="0" w:color="auto"/>
        <w:bottom w:val="none" w:sz="0" w:space="0" w:color="auto"/>
        <w:right w:val="none" w:sz="0" w:space="0" w:color="auto"/>
      </w:divBdr>
    </w:div>
    <w:div w:id="21433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Car15</b:Tag>
    <b:SourceType>Book</b:SourceType>
    <b:Guid>{77A78734-C33A-4F56-80ED-77111CAEF96F}</b:Guid>
    <b:Title>Formulación y evaluación de Proyectos de inversión</b:Title>
    <b:Year>2015</b:Year>
    <b:Author>
      <b:Author>
        <b:NameList>
          <b:Person>
            <b:Last>Carbonel</b:Last>
            <b:First>Juan</b:First>
          </b:Person>
        </b:NameList>
      </b:Author>
    </b:Author>
    <b:City>Lima</b:City>
    <b:Publisher>Editorial Macro</b:Publisher>
    <b:RefOrder>1</b:RefOrder>
  </b:Source>
</b:Sources>
</file>

<file path=customXml/itemProps1.xml><?xml version="1.0" encoding="utf-8"?>
<ds:datastoreItem xmlns:ds="http://schemas.openxmlformats.org/officeDocument/2006/customXml" ds:itemID="{D94A7828-FEC8-406E-8CF1-0B5667E4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11</cp:revision>
  <cp:lastPrinted>2018-06-22T19:19:00Z</cp:lastPrinted>
  <dcterms:created xsi:type="dcterms:W3CDTF">2018-06-22T23:43:00Z</dcterms:created>
  <dcterms:modified xsi:type="dcterms:W3CDTF">2018-07-13T23:59:00Z</dcterms:modified>
</cp:coreProperties>
</file>