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B" w:rsidRDefault="00DC4C7B" w:rsidP="00DC4C7B">
      <w:pPr>
        <w:pStyle w:val="Ttulo1"/>
      </w:pPr>
      <w:r w:rsidRPr="008F083B">
        <w:t xml:space="preserve">CAPITULO 3: </w:t>
      </w:r>
      <w:bookmarkStart w:id="0" w:name="_GoBack"/>
      <w:r w:rsidRPr="008F083B">
        <w:t>EVALUACION DE INVERSIONES CON INFLACIÓN</w:t>
      </w:r>
      <w:bookmarkEnd w:id="0"/>
    </w:p>
    <w:p w:rsidR="00DC4C7B" w:rsidRPr="008A4FFC" w:rsidRDefault="00DC4C7B" w:rsidP="00DC4C7B"/>
    <w:p w:rsidR="00DC4C7B" w:rsidRDefault="00DC4C7B" w:rsidP="00DC4C7B">
      <w:pPr>
        <w:jc w:val="both"/>
      </w:pPr>
      <w:r>
        <w:t xml:space="preserve">En este capítulo desarrollamos las consideraciones fundamentales que deben cumplir en la  evaluación del proyecto si es necesario incluir la inflación para no distorsionar los resultados finales del proyecto cuando estemos trabajando los flujos de caja y los estados financieros, es decir, si los analistas del proyecto deciden incluir la inflación se debe tener una consistencia en trabajar tanto los flujos de caja, la tasa de descuento, y los estados financieros proyectando la inflación. Sin embargo, podemos afirmar que si los analistas deciden evaluar el proyecto sin inflación es correcto considerar los flujos de caja, los estados financieros y la tasa de descuento a valores constantes, los resultados de la viabilidad en caso de trabajar con o sin inflación serían similares. En los siguientes análisis presentamos un resumen básico de las teorías y problemas de aplicación. </w:t>
      </w:r>
    </w:p>
    <w:p w:rsidR="00DC4C7B" w:rsidRPr="0014185C" w:rsidRDefault="00DC4C7B" w:rsidP="00DC4C7B">
      <w:pPr>
        <w:pStyle w:val="Ttulo2"/>
      </w:pPr>
      <w:r w:rsidRPr="0014185C">
        <w:rPr>
          <w:caps w:val="0"/>
        </w:rPr>
        <w:t xml:space="preserve">DEFINICIÓN DE INFLACIÓN </w:t>
      </w:r>
    </w:p>
    <w:p w:rsidR="00DC4C7B" w:rsidRDefault="00DC4C7B" w:rsidP="00DC4C7B">
      <w:pPr>
        <w:pStyle w:val="Prrafodelista"/>
        <w:jc w:val="both"/>
      </w:pPr>
      <w:r>
        <w:t>La inflación es el incremento de los precios de bienes y servicios de la canasta básica de un país, por ejemplo en el Perú el más usado es el Índice de precios al consumidor (IPC). Por ejemplo si la tasa de inflación es medida en términos porcentuales de incremento del IPC de un periodo a otro (mensual o anual), se tiene que a marzo del 2018 en el sector educación el IPC fue igual a 103.93, la tasa de inflación mensual fue igual a 3.93% [(103.93-100)/100], como base Diciembre 2011=100).</w:t>
      </w:r>
      <w:sdt>
        <w:sdtPr>
          <w:id w:val="404969124"/>
          <w:citation/>
        </w:sdtPr>
        <w:sdtContent>
          <w:r>
            <w:fldChar w:fldCharType="begin"/>
          </w:r>
          <w:r>
            <w:instrText xml:space="preserve"> CITATION Ins18 \l 10250 </w:instrText>
          </w:r>
          <w:r>
            <w:fldChar w:fldCharType="separate"/>
          </w:r>
          <w:r>
            <w:rPr>
              <w:noProof/>
            </w:rPr>
            <w:t xml:space="preserve"> (Instituto Nacional de Estadística, 2018)</w:t>
          </w:r>
          <w:r>
            <w:fldChar w:fldCharType="end"/>
          </w:r>
        </w:sdtContent>
      </w:sdt>
    </w:p>
    <w:p w:rsidR="00DC4C7B" w:rsidRDefault="00DC4C7B" w:rsidP="00DC4C7B">
      <w:pPr>
        <w:pStyle w:val="Prrafodelista"/>
        <w:jc w:val="both"/>
      </w:pPr>
    </w:p>
    <w:p w:rsidR="00DC4C7B" w:rsidRPr="008F083B" w:rsidRDefault="00DC4C7B" w:rsidP="00DC4C7B">
      <w:pPr>
        <w:pStyle w:val="Ttulo2"/>
      </w:pPr>
      <w:r w:rsidRPr="008F083B">
        <w:rPr>
          <w:caps w:val="0"/>
        </w:rPr>
        <w:t>SOLES CORRIENTES Y SOLES CONSTANTES</w:t>
      </w:r>
    </w:p>
    <w:p w:rsidR="00DC4C7B" w:rsidRDefault="00DC4C7B" w:rsidP="00DC4C7B">
      <w:pPr>
        <w:pStyle w:val="Prrafodelista"/>
        <w:jc w:val="both"/>
      </w:pPr>
      <w:r>
        <w:t xml:space="preserve">En los siguientes cuadros ponemos dos ejemplos para definir soles corrientes y soles constantes y explicamos las respectivas conversiones, así también, definimos el índice deflacto o de inflación. </w:t>
      </w:r>
    </w:p>
    <w:p w:rsidR="004C1FE0" w:rsidRDefault="004C1FE0"/>
    <w:sectPr w:rsidR="004C1F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58DB"/>
    <w:multiLevelType w:val="hybridMultilevel"/>
    <w:tmpl w:val="EB84E81C"/>
    <w:lvl w:ilvl="0" w:tplc="DE4EF454">
      <w:start w:val="3"/>
      <w:numFmt w:val="decimal"/>
      <w:pStyle w:val="Ttulo1"/>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E14522C"/>
    <w:multiLevelType w:val="hybridMultilevel"/>
    <w:tmpl w:val="EEBEB03A"/>
    <w:lvl w:ilvl="0" w:tplc="31BAFDE0">
      <w:start w:val="1"/>
      <w:numFmt w:val="decimal"/>
      <w:pStyle w:val="Ttulo2"/>
      <w:lvlText w:val="3.%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B"/>
    <w:rsid w:val="003F604C"/>
    <w:rsid w:val="00400225"/>
    <w:rsid w:val="004C1FE0"/>
    <w:rsid w:val="00924D4E"/>
    <w:rsid w:val="00DC4C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CCBCD-B472-434E-9560-2A65B41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C7B"/>
  </w:style>
  <w:style w:type="paragraph" w:styleId="Ttulo1">
    <w:name w:val="heading 1"/>
    <w:basedOn w:val="Normal"/>
    <w:next w:val="Normal"/>
    <w:link w:val="Ttulo1Car"/>
    <w:uiPriority w:val="9"/>
    <w:qFormat/>
    <w:rsid w:val="00DC4C7B"/>
    <w:pPr>
      <w:keepNext/>
      <w:keepLines/>
      <w:numPr>
        <w:numId w:val="2"/>
      </w:numPr>
      <w:spacing w:before="240" w:after="0"/>
      <w:outlineLvl w:val="0"/>
    </w:pPr>
    <w:rPr>
      <w:rFonts w:asciiTheme="majorHAnsi" w:eastAsiaTheme="majorEastAsia" w:hAnsiTheme="majorHAnsi" w:cstheme="majorBidi"/>
      <w:color w:val="000000" w:themeColor="text1"/>
      <w:sz w:val="32"/>
      <w:szCs w:val="32"/>
    </w:rPr>
  </w:style>
  <w:style w:type="paragraph" w:styleId="Ttulo2">
    <w:name w:val="heading 2"/>
    <w:basedOn w:val="Normal"/>
    <w:next w:val="Normal"/>
    <w:link w:val="Ttulo2Car"/>
    <w:uiPriority w:val="9"/>
    <w:unhideWhenUsed/>
    <w:qFormat/>
    <w:rsid w:val="00DC4C7B"/>
    <w:pPr>
      <w:keepNext/>
      <w:keepLines/>
      <w:numPr>
        <w:numId w:val="1"/>
      </w:numPr>
      <w:spacing w:before="40" w:after="0"/>
      <w:outlineLvl w:val="1"/>
    </w:pPr>
    <w:rPr>
      <w:rFonts w:asciiTheme="majorHAnsi" w:eastAsiaTheme="majorEastAsia" w:hAnsiTheme="majorHAnsi" w:cstheme="majorBidi"/>
      <w:b/>
      <w:caps/>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4C7B"/>
    <w:rPr>
      <w:rFonts w:asciiTheme="majorHAnsi" w:eastAsiaTheme="majorEastAsia" w:hAnsiTheme="majorHAnsi" w:cstheme="majorBidi"/>
      <w:color w:val="000000" w:themeColor="text1"/>
      <w:sz w:val="32"/>
      <w:szCs w:val="32"/>
    </w:rPr>
  </w:style>
  <w:style w:type="character" w:customStyle="1" w:styleId="Ttulo2Car">
    <w:name w:val="Título 2 Car"/>
    <w:basedOn w:val="Fuentedeprrafopredeter"/>
    <w:link w:val="Ttulo2"/>
    <w:uiPriority w:val="9"/>
    <w:rsid w:val="00DC4C7B"/>
    <w:rPr>
      <w:rFonts w:asciiTheme="majorHAnsi" w:eastAsiaTheme="majorEastAsia" w:hAnsiTheme="majorHAnsi" w:cstheme="majorBidi"/>
      <w:b/>
      <w:caps/>
      <w:color w:val="000000" w:themeColor="text1"/>
      <w:szCs w:val="26"/>
    </w:rPr>
  </w:style>
  <w:style w:type="paragraph" w:styleId="Prrafodelista">
    <w:name w:val="List Paragraph"/>
    <w:basedOn w:val="Normal"/>
    <w:uiPriority w:val="34"/>
    <w:qFormat/>
    <w:rsid w:val="00DC4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Ins18</b:Tag>
    <b:SourceType>Report</b:SourceType>
    <b:Guid>{4F8A6D06-75B9-4A49-BFF9-87D890B25F6B}</b:Guid>
    <b:Author>
      <b:Author>
        <b:Corporate>Instituto Nacional de Estadística</b:Corporate>
      </b:Author>
    </b:Author>
    <b:Title>Informe técnico N°04- ABRIL 2018 - Variación de los Indicadores de Precios de la Economía</b:Title>
    <b:Year>2018</b:Year>
    <b:City>Lima</b:City>
    <b:RefOrder>1</b:RefOrder>
  </b:Source>
</b:Sources>
</file>

<file path=customXml/itemProps1.xml><?xml version="1.0" encoding="utf-8"?>
<ds:datastoreItem xmlns:ds="http://schemas.openxmlformats.org/officeDocument/2006/customXml" ds:itemID="{5475CC0A-CD08-4571-AB80-628E3AC3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1493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Franco Zavaleta Peña</dc:creator>
  <cp:keywords/>
  <dc:description/>
  <cp:lastModifiedBy>Jorge Franco Zavaleta Peña</cp:lastModifiedBy>
  <cp:revision>1</cp:revision>
  <dcterms:created xsi:type="dcterms:W3CDTF">2018-07-26T17:20:00Z</dcterms:created>
  <dcterms:modified xsi:type="dcterms:W3CDTF">2018-07-26T17:20:00Z</dcterms:modified>
</cp:coreProperties>
</file>