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8F" w:rsidRDefault="000A3C8F" w:rsidP="00C41C3C">
      <w:pPr>
        <w:jc w:val="both"/>
        <w:rPr>
          <w:b/>
        </w:rPr>
      </w:pPr>
      <w:r w:rsidRPr="000A3C8F">
        <w:rPr>
          <w:b/>
        </w:rPr>
        <w:t>Cálculo del costo de capital promedio ponderado para empresas que cotizan en el mercado norteamericano en el NASDAQ</w:t>
      </w:r>
    </w:p>
    <w:p w:rsidR="000A3C8F" w:rsidRPr="000A3C8F" w:rsidRDefault="000A3C8F" w:rsidP="00C41C3C">
      <w:pPr>
        <w:jc w:val="both"/>
        <w:rPr>
          <w:b/>
        </w:rPr>
      </w:pPr>
      <w:r>
        <w:rPr>
          <w:b/>
        </w:rPr>
        <w:t xml:space="preserve">CASO 1: Microsoft </w:t>
      </w:r>
      <w:proofErr w:type="spellStart"/>
      <w:r>
        <w:rPr>
          <w:b/>
        </w:rPr>
        <w:t>Corporation</w:t>
      </w:r>
      <w:proofErr w:type="spellEnd"/>
    </w:p>
    <w:p w:rsidR="000A3C8F" w:rsidRDefault="000A3C8F" w:rsidP="00C41C3C">
      <w:pPr>
        <w:jc w:val="both"/>
      </w:pPr>
      <w:r>
        <w:t xml:space="preserve">La empresa Microsoft </w:t>
      </w:r>
      <w:proofErr w:type="spellStart"/>
      <w:r>
        <w:t>Corporation</w:t>
      </w:r>
      <w:proofErr w:type="spellEnd"/>
      <w:r>
        <w:t xml:space="preserve"> cotiza en el mercado norteamericano en el NASDAQ, a continuación se presenta un resumen del balance al 2017</w:t>
      </w:r>
      <w:r w:rsidR="001250D1">
        <w:t xml:space="preserve"> </w:t>
      </w:r>
      <w:r w:rsidR="0086333E">
        <w:rPr>
          <w:rFonts w:ascii="Arial Narrow" w:hAnsi="Arial Narrow"/>
          <w:b/>
          <w:i/>
          <w:sz w:val="24"/>
          <w:szCs w:val="24"/>
          <w:lang w:val="es-ES"/>
        </w:rPr>
        <w:t>(e</w:t>
      </w:r>
      <w:r w:rsidR="001250D1">
        <w:rPr>
          <w:rFonts w:ascii="Arial Narrow" w:hAnsi="Arial Narrow"/>
          <w:b/>
          <w:i/>
          <w:sz w:val="24"/>
          <w:szCs w:val="24"/>
          <w:lang w:val="es-ES"/>
        </w:rPr>
        <w:t>n millones de dólares)</w:t>
      </w:r>
      <w:r>
        <w:t>. Se pide calcular el costo promedio ponderado (WACC) tanto para valor en libros como para valor bursátil, utilizando la teoría del CAPM.</w:t>
      </w:r>
    </w:p>
    <w:p w:rsidR="00F85403" w:rsidRDefault="00F85403" w:rsidP="00C41C3C">
      <w:pPr>
        <w:jc w:val="both"/>
      </w:pPr>
    </w:p>
    <w:tbl>
      <w:tblPr>
        <w:tblStyle w:val="Tablaconcuadrcula"/>
        <w:tblW w:w="8918" w:type="dxa"/>
        <w:tblInd w:w="-5" w:type="dxa"/>
        <w:tblLook w:val="04A0" w:firstRow="1" w:lastRow="0" w:firstColumn="1" w:lastColumn="0" w:noHBand="0" w:noVBand="1"/>
      </w:tblPr>
      <w:tblGrid>
        <w:gridCol w:w="2346"/>
        <w:gridCol w:w="1594"/>
        <w:gridCol w:w="3018"/>
        <w:gridCol w:w="1960"/>
      </w:tblGrid>
      <w:tr w:rsidR="00F85403" w:rsidRPr="004C09FC" w:rsidTr="008B37D5">
        <w:trPr>
          <w:trHeight w:val="443"/>
        </w:trPr>
        <w:tc>
          <w:tcPr>
            <w:tcW w:w="8918" w:type="dxa"/>
            <w:gridSpan w:val="4"/>
            <w:shd w:val="clear" w:color="auto" w:fill="002060"/>
            <w:vAlign w:val="center"/>
          </w:tcPr>
          <w:p w:rsidR="00F85403" w:rsidRPr="004C09FC" w:rsidRDefault="00A07046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A07046"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  <w:t>Balance General</w:t>
            </w:r>
          </w:p>
        </w:tc>
      </w:tr>
      <w:tr w:rsidR="00F85403" w:rsidRPr="004C09FC" w:rsidTr="00E71EA3">
        <w:trPr>
          <w:trHeight w:val="281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F85403" w:rsidRPr="004C09FC" w:rsidRDefault="00F85403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Activos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F85403" w:rsidRPr="004C09FC" w:rsidRDefault="00F85403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F85403" w:rsidRPr="004C09FC" w:rsidRDefault="00F85403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Pasivos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F85403" w:rsidRPr="004C09FC" w:rsidRDefault="00F85403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</w:tr>
      <w:tr w:rsidR="00E71EA3" w:rsidRPr="004C09FC" w:rsidTr="00E71EA3">
        <w:trPr>
          <w:trHeight w:val="563"/>
        </w:trPr>
        <w:tc>
          <w:tcPr>
            <w:tcW w:w="2346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Corrientes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159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851</w:t>
            </w:r>
          </w:p>
        </w:tc>
        <w:tc>
          <w:tcPr>
            <w:tcW w:w="3018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Corrientes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  <w:r w:rsidR="00A1302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527</w:t>
            </w:r>
          </w:p>
        </w:tc>
      </w:tr>
      <w:tr w:rsidR="00E71EA3" w:rsidRPr="004C09FC" w:rsidTr="00E71EA3">
        <w:trPr>
          <w:trHeight w:val="580"/>
        </w:trPr>
        <w:tc>
          <w:tcPr>
            <w:tcW w:w="2346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No Corrientes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81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3018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No Corrientes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  <w:r w:rsidR="00A1302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165</w:t>
            </w:r>
          </w:p>
        </w:tc>
      </w:tr>
      <w:tr w:rsidR="00E71EA3" w:rsidRPr="004C09FC" w:rsidTr="00E71EA3">
        <w:trPr>
          <w:trHeight w:val="281"/>
        </w:trPr>
        <w:tc>
          <w:tcPr>
            <w:tcW w:w="2346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de Deuda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692</w:t>
            </w:r>
          </w:p>
        </w:tc>
      </w:tr>
      <w:tr w:rsidR="00E71EA3" w:rsidRPr="004C09FC" w:rsidTr="00E71EA3">
        <w:trPr>
          <w:trHeight w:val="281"/>
        </w:trPr>
        <w:tc>
          <w:tcPr>
            <w:tcW w:w="2346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 w:rsidRPr="004C09FC">
              <w:rPr>
                <w:rFonts w:ascii="Arial Narrow" w:hAnsi="Arial Narrow"/>
                <w:sz w:val="24"/>
                <w:szCs w:val="26"/>
              </w:rPr>
              <w:t>Equity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394</w:t>
            </w:r>
          </w:p>
        </w:tc>
      </w:tr>
      <w:tr w:rsidR="00E71EA3" w:rsidRPr="004C09FC" w:rsidTr="00E71EA3">
        <w:trPr>
          <w:trHeight w:val="563"/>
        </w:trPr>
        <w:tc>
          <w:tcPr>
            <w:tcW w:w="2346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Activos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241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086</w:t>
            </w:r>
          </w:p>
        </w:tc>
        <w:tc>
          <w:tcPr>
            <w:tcW w:w="3018" w:type="dxa"/>
            <w:vAlign w:val="center"/>
          </w:tcPr>
          <w:p w:rsidR="00E71EA3" w:rsidRPr="004C09FC" w:rsidRDefault="00E71EA3" w:rsidP="00E71EA3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Pasivos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A3" w:rsidRDefault="00E71EA3" w:rsidP="00E71E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241</w:t>
            </w:r>
            <w:r w:rsidR="00A13024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086</w:t>
            </w:r>
          </w:p>
        </w:tc>
      </w:tr>
    </w:tbl>
    <w:p w:rsidR="00F85403" w:rsidRDefault="00393A67" w:rsidP="00C41C3C">
      <w:pPr>
        <w:jc w:val="both"/>
      </w:pPr>
      <w:r w:rsidRPr="00852A4B">
        <w:rPr>
          <w:rFonts w:ascii="Arial Narrow" w:hAnsi="Arial Narrow"/>
          <w:b/>
          <w:i/>
          <w:noProof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39C8D" wp14:editId="7C19AEA0">
                <wp:simplePos x="0" y="0"/>
                <wp:positionH relativeFrom="margin">
                  <wp:posOffset>504825</wp:posOffset>
                </wp:positionH>
                <wp:positionV relativeFrom="paragraph">
                  <wp:posOffset>83185</wp:posOffset>
                </wp:positionV>
                <wp:extent cx="5133975" cy="43815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9004C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4"/>
                                <w:lang w:val="es-ES"/>
                              </w:rPr>
                              <w:t>Fuente:</w:t>
                            </w:r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Finance.yahoo.com. (2018).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Yahoo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Finance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online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] Available at: </w:t>
                            </w:r>
                            <w:hyperlink r:id="rId7" w:history="1">
                              <w:r w:rsidRPr="00067E07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8"/>
                                  <w:szCs w:val="24"/>
                                  <w:lang w:val="en-US"/>
                                </w:rPr>
                                <w:t>https://finance.yahoo.com/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[17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jul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.</w:t>
                            </w:r>
                            <w:proofErr w:type="spell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2018].</w:t>
                            </w:r>
                          </w:p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39C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75pt;margin-top:6.55pt;width:404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" filled="f" stroked="f">
                <v:textbox>
                  <w:txbxContent>
                    <w:p w:rsidR="00393A67" w:rsidRPr="00067E07" w:rsidRDefault="00393A67" w:rsidP="00393A67">
                      <w:pPr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9004C2">
                        <w:rPr>
                          <w:rFonts w:ascii="Arial" w:hAnsi="Arial" w:cs="Arial"/>
                          <w:b/>
                          <w:i/>
                          <w:sz w:val="18"/>
                          <w:szCs w:val="24"/>
                          <w:lang w:val="es-ES"/>
                        </w:rPr>
                        <w:t>Fuente:</w:t>
                      </w:r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Finance.yahoo.com. (2018).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Yahoo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Finance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. </w:t>
                      </w:r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[</w:t>
                      </w:r>
                      <w:proofErr w:type="gramStart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online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] Available at: </w:t>
                      </w:r>
                      <w:hyperlink r:id="rId8" w:history="1">
                        <w:r w:rsidRPr="00067E07">
                          <w:rPr>
                            <w:rStyle w:val="Hipervnculo"/>
                            <w:rFonts w:ascii="Arial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>https://finance.yahoo.com/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[17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jul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.</w:t>
                      </w:r>
                      <w:proofErr w:type="spell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2018].</w:t>
                      </w:r>
                    </w:p>
                    <w:p w:rsidR="00393A67" w:rsidRPr="00067E07" w:rsidRDefault="00393A67" w:rsidP="00393A67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3A67" w:rsidRDefault="00393A67" w:rsidP="00C41C3C">
      <w:pPr>
        <w:jc w:val="both"/>
      </w:pPr>
    </w:p>
    <w:p w:rsidR="000A3C8F" w:rsidRDefault="000A3C8F" w:rsidP="00C41C3C">
      <w:pPr>
        <w:jc w:val="both"/>
      </w:pPr>
      <w:r>
        <w:t>Solución:</w:t>
      </w:r>
    </w:p>
    <w:p w:rsidR="000A3C8F" w:rsidRDefault="000A3C8F" w:rsidP="00C41C3C">
      <w:pPr>
        <w:jc w:val="both"/>
      </w:pPr>
      <w:r>
        <w:t xml:space="preserve">Para proceder a calcular el costo promedio ponderado (WACC) de la empresa Microsoft </w:t>
      </w:r>
      <w:proofErr w:type="spellStart"/>
      <w:r>
        <w:t>Corporation</w:t>
      </w:r>
      <w:proofErr w:type="spellEnd"/>
      <w:r>
        <w:t xml:space="preserve"> seguimos los siguientes pasos:</w:t>
      </w:r>
    </w:p>
    <w:p w:rsidR="000A3C8F" w:rsidRDefault="000A3C8F" w:rsidP="00C41C3C">
      <w:pPr>
        <w:jc w:val="both"/>
        <w:rPr>
          <w:b/>
          <w:i/>
        </w:rPr>
      </w:pPr>
      <w:r w:rsidRPr="000A3C8F">
        <w:rPr>
          <w:b/>
          <w:i/>
        </w:rPr>
        <w:t>Para el WACC valor en libros: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>
        <w:t xml:space="preserve">Determinamos la estructura de capital según los pesos de participación en la financiación total tanto para deuda que paga intereses como para el </w:t>
      </w:r>
      <w:proofErr w:type="spellStart"/>
      <w:r>
        <w:t>equity</w:t>
      </w:r>
      <w:proofErr w:type="spellEnd"/>
      <w:r>
        <w:t xml:space="preserve"> o capital patrimonial.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>
        <w:t>Definimos el rendimiento libre de riesgo tomando como referencia a los rendimientos de los bonos norteamericanos.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>
        <w:t xml:space="preserve">La prima de riesgo es determinado de acuerdo a las investigaciones Pablo </w:t>
      </w:r>
      <w:r w:rsidR="00E71EA3">
        <w:t>Fernández</w:t>
      </w:r>
      <w:r>
        <w:t>.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 w:rsidRPr="00E71EA3">
        <w:t xml:space="preserve">La </w:t>
      </w:r>
      <w:r w:rsidR="00F85403" w:rsidRPr="00E71EA3">
        <w:t>β</w:t>
      </w:r>
      <w:r w:rsidRPr="00E71EA3">
        <w:t xml:space="preserve"> sectorial</w:t>
      </w:r>
      <w:r>
        <w:t xml:space="preserve"> o riesgo sistemático de la empresa se toma como dato del resumen financiero de la misma empresa.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>
        <w:t>El costo de la deuda se toma según al sistema financiero norteamericano.</w:t>
      </w:r>
    </w:p>
    <w:p w:rsidR="000A3C8F" w:rsidRDefault="000A3C8F" w:rsidP="00C41C3C">
      <w:pPr>
        <w:pStyle w:val="Prrafodelista"/>
        <w:numPr>
          <w:ilvl w:val="0"/>
          <w:numId w:val="1"/>
        </w:numPr>
        <w:jc w:val="both"/>
      </w:pPr>
      <w:r>
        <w:t>La tasa impositiva a la renta es de acuerdo a la última legislación norteamericana (2018) esto es 20%.</w:t>
      </w:r>
    </w:p>
    <w:p w:rsidR="002F185F" w:rsidRDefault="002F185F" w:rsidP="00C41C3C">
      <w:pPr>
        <w:jc w:val="both"/>
        <w:rPr>
          <w:b/>
          <w:i/>
        </w:rPr>
      </w:pPr>
      <w:r w:rsidRPr="002F185F">
        <w:rPr>
          <w:b/>
          <w:i/>
        </w:rPr>
        <w:t xml:space="preserve">Para el WACC </w:t>
      </w:r>
      <w:r>
        <w:rPr>
          <w:b/>
          <w:i/>
        </w:rPr>
        <w:t>valor bursátil</w:t>
      </w:r>
      <w:r w:rsidRPr="002F185F">
        <w:rPr>
          <w:b/>
          <w:i/>
        </w:rPr>
        <w:t>:</w:t>
      </w:r>
    </w:p>
    <w:p w:rsidR="002F185F" w:rsidRDefault="002F185F" w:rsidP="00C41C3C">
      <w:pPr>
        <w:pStyle w:val="Prrafodelista"/>
        <w:numPr>
          <w:ilvl w:val="0"/>
          <w:numId w:val="2"/>
        </w:numPr>
        <w:jc w:val="both"/>
      </w:pPr>
      <w:r>
        <w:t xml:space="preserve">Determinamos la estructura de capital según los pesos de participación en la financiación total tanto para deuda que paga intereses como para el </w:t>
      </w:r>
      <w:proofErr w:type="spellStart"/>
      <w:r>
        <w:t>equity</w:t>
      </w:r>
      <w:proofErr w:type="spellEnd"/>
      <w:r>
        <w:t xml:space="preserve"> o capital patrimonial. En este </w:t>
      </w:r>
      <w:r>
        <w:lastRenderedPageBreak/>
        <w:t>caso tomamos como valor patrimonial el ín</w:t>
      </w:r>
      <w:r w:rsidR="00BE00F5">
        <w:t>dice de capitalización bursátil</w:t>
      </w:r>
      <w:r w:rsidR="00BE00F5">
        <w:rPr>
          <w:rStyle w:val="Refdenotaalpie"/>
          <w:rFonts w:ascii="Arial Narrow" w:hAnsi="Arial Narrow"/>
          <w:b/>
          <w:i/>
          <w:sz w:val="24"/>
          <w:szCs w:val="24"/>
          <w:lang w:val="es-ES"/>
        </w:rPr>
        <w:footnoteReference w:id="1"/>
      </w:r>
      <w:r w:rsidR="00BE00F5">
        <w:t xml:space="preserve"> </w:t>
      </w:r>
      <w:r>
        <w:t xml:space="preserve">del mercado de valores norteamericano, la deuda debería estar en valor de mercado pero por razones de información vamos a proponer el valor de libros. </w:t>
      </w:r>
    </w:p>
    <w:p w:rsidR="002F185F" w:rsidRDefault="002F185F" w:rsidP="00C41C3C">
      <w:pPr>
        <w:pStyle w:val="Prrafodelista"/>
        <w:numPr>
          <w:ilvl w:val="0"/>
          <w:numId w:val="2"/>
        </w:numPr>
        <w:jc w:val="both"/>
      </w:pPr>
      <w:r>
        <w:t>Luego se siguen los pasos indicados anteriormente.</w:t>
      </w:r>
    </w:p>
    <w:p w:rsidR="000A3C8F" w:rsidRDefault="000A3C8F" w:rsidP="00C41C3C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E71EA3" w:rsidRPr="004C09FC" w:rsidTr="008B37D5">
        <w:trPr>
          <w:trHeight w:val="312"/>
        </w:trPr>
        <w:tc>
          <w:tcPr>
            <w:tcW w:w="5382" w:type="dxa"/>
            <w:shd w:val="clear" w:color="auto" w:fill="002060"/>
            <w:vAlign w:val="center"/>
          </w:tcPr>
          <w:p w:rsidR="00E71EA3" w:rsidRPr="004C09FC" w:rsidRDefault="00E71EA3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E71EA3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Microsoft </w:t>
            </w:r>
            <w:proofErr w:type="spellStart"/>
            <w:r w:rsidRPr="00E71EA3">
              <w:rPr>
                <w:rFonts w:ascii="Arial Narrow" w:hAnsi="Arial Narrow"/>
                <w:b/>
                <w:color w:val="FFFFFF" w:themeColor="background1"/>
                <w:sz w:val="24"/>
              </w:rPr>
              <w:t>Corporation</w:t>
            </w:r>
            <w:proofErr w:type="spellEnd"/>
          </w:p>
        </w:tc>
        <w:tc>
          <w:tcPr>
            <w:tcW w:w="3685" w:type="dxa"/>
            <w:shd w:val="clear" w:color="auto" w:fill="002060"/>
            <w:vAlign w:val="center"/>
          </w:tcPr>
          <w:p w:rsidR="00E71EA3" w:rsidRPr="004C09FC" w:rsidRDefault="00E71EA3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2017</w:t>
            </w:r>
          </w:p>
        </w:tc>
      </w:tr>
      <w:tr w:rsidR="00E71EA3" w:rsidRPr="004C09FC" w:rsidTr="003558C0">
        <w:trPr>
          <w:trHeight w:val="3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Pr="00E71EA3" w:rsidRDefault="00E71EA3" w:rsidP="00E71EA3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Beta(β)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5C1FD0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E71EA3">
              <w:rPr>
                <w:rFonts w:ascii="Calibri" w:hAnsi="Calibri"/>
                <w:color w:val="000000"/>
              </w:rPr>
              <w:t>28</w:t>
            </w:r>
          </w:p>
        </w:tc>
      </w:tr>
      <w:tr w:rsidR="00E71EA3" w:rsidRPr="004C09FC" w:rsidTr="003558C0">
        <w:trPr>
          <w:trHeight w:val="3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Pr="00E71EA3" w:rsidRDefault="00E71EA3" w:rsidP="00E71EA3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Rendimiento de  bono norteamericano por 10 años(K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5C1FD0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E71EA3">
              <w:rPr>
                <w:rFonts w:ascii="Calibri" w:hAnsi="Calibri"/>
                <w:color w:val="000000"/>
              </w:rPr>
              <w:t>957%</w:t>
            </w:r>
          </w:p>
        </w:tc>
      </w:tr>
      <w:tr w:rsidR="00E71EA3" w:rsidRPr="004C09FC" w:rsidTr="003558C0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Pr="00E71EA3" w:rsidRDefault="00E71EA3" w:rsidP="00E71EA3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Prima de riesgo (K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M</w:t>
            </w:r>
            <w:r w:rsidRPr="00E71EA3">
              <w:rPr>
                <w:rFonts w:ascii="Calibri" w:hAnsi="Calibri"/>
                <w:color w:val="000000"/>
              </w:rPr>
              <w:t>-K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5C1FD0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  <w:r w:rsidR="00E71EA3">
              <w:rPr>
                <w:rFonts w:ascii="Calibri" w:hAnsi="Calibri"/>
                <w:color w:val="000000"/>
              </w:rPr>
              <w:t>6%</w:t>
            </w:r>
          </w:p>
        </w:tc>
      </w:tr>
      <w:tr w:rsidR="00E71EA3" w:rsidRPr="004C09FC" w:rsidTr="003558C0">
        <w:trPr>
          <w:trHeight w:val="3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Pr="00E71EA3" w:rsidRDefault="00E71EA3" w:rsidP="00E71EA3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Costo de los fondos propios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 xml:space="preserve"> [Ke= 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+β(K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M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-K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)]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5C1FD0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  <w:r w:rsidR="00E71EA3">
              <w:rPr>
                <w:rFonts w:ascii="Calibri" w:hAnsi="Calibri"/>
                <w:color w:val="000000"/>
              </w:rPr>
              <w:t>685%</w:t>
            </w:r>
          </w:p>
        </w:tc>
      </w:tr>
      <w:tr w:rsidR="00E71EA3" w:rsidRPr="004C09FC" w:rsidTr="003558C0">
        <w:trPr>
          <w:trHeight w:val="3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Default="00E71EA3" w:rsidP="00E7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Capital(C)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A1302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394</w:t>
            </w:r>
          </w:p>
        </w:tc>
      </w:tr>
      <w:tr w:rsidR="00E71EA3" w:rsidRPr="004C09FC" w:rsidTr="003558C0">
        <w:trPr>
          <w:trHeight w:val="3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Deuda(D)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  <w:r w:rsidR="00A1302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692</w:t>
            </w:r>
          </w:p>
        </w:tc>
      </w:tr>
      <w:tr w:rsidR="00E71EA3" w:rsidRPr="004C09FC" w:rsidTr="003558C0">
        <w:trPr>
          <w:trHeight w:val="31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Tasa impositiva(T)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</w:tr>
      <w:tr w:rsidR="00E71EA3" w:rsidRPr="004C09FC" w:rsidTr="003558C0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E71EA3" w:rsidP="00E71E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Tasa de interés(Kd)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5C1FD0" w:rsidP="00E71E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E71EA3">
              <w:rPr>
                <w:rFonts w:ascii="Calibri" w:hAnsi="Calibri"/>
                <w:color w:val="000000"/>
              </w:rPr>
              <w:t>00%</w:t>
            </w:r>
          </w:p>
        </w:tc>
      </w:tr>
      <w:tr w:rsidR="00E71EA3" w:rsidRPr="004C09FC" w:rsidTr="003558C0">
        <w:trPr>
          <w:trHeight w:val="3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1EA3" w:rsidRDefault="00FE1903" w:rsidP="00E71EA3">
            <w:pPr>
              <w:rPr>
                <w:rFonts w:ascii="Calibri" w:hAnsi="Calibri"/>
                <w:color w:val="000000"/>
              </w:rPr>
            </w:pPr>
            <w:r>
              <w:t>Índice de cap</w:t>
            </w:r>
            <w:r w:rsidR="00BE00F5">
              <w:t>italización bursátil</w:t>
            </w:r>
            <w:r>
              <w:t xml:space="preserve"> </w:t>
            </w:r>
            <w:r w:rsidR="00A13024" w:rsidRPr="00A13024">
              <w:rPr>
                <w:rFonts w:ascii="Calibri" w:hAnsi="Calibri"/>
                <w:color w:val="000000"/>
              </w:rPr>
              <w:t>(17/06/18-10:00am)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A3" w:rsidRDefault="00A13024" w:rsidP="00E71EA3">
            <w:pPr>
              <w:jc w:val="center"/>
              <w:rPr>
                <w:rFonts w:ascii="Calibri" w:hAnsi="Calibri"/>
                <w:color w:val="000000"/>
              </w:rPr>
            </w:pPr>
            <w:r w:rsidRPr="00A13024">
              <w:rPr>
                <w:rFonts w:ascii="Calibri" w:hAnsi="Calibri"/>
                <w:color w:val="000000"/>
              </w:rPr>
              <w:t>769</w:t>
            </w:r>
            <w:r>
              <w:rPr>
                <w:rFonts w:ascii="Calibri" w:hAnsi="Calibri"/>
                <w:color w:val="000000"/>
              </w:rPr>
              <w:t>,</w:t>
            </w:r>
            <w:r w:rsidRPr="00A13024">
              <w:rPr>
                <w:rFonts w:ascii="Calibri" w:hAnsi="Calibri"/>
                <w:color w:val="000000"/>
              </w:rPr>
              <w:t>319</w:t>
            </w:r>
          </w:p>
        </w:tc>
      </w:tr>
    </w:tbl>
    <w:p w:rsidR="00E71EA3" w:rsidRPr="001E4ACE" w:rsidRDefault="00E71EA3" w:rsidP="00C41C3C">
      <w:pPr>
        <w:jc w:val="both"/>
      </w:pPr>
    </w:p>
    <w:p w:rsidR="00A13024" w:rsidRPr="001E4ACE" w:rsidRDefault="00CC5829" w:rsidP="001E4ACE">
      <w:pPr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</w:rPr>
            <m:t>12.685%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72,394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72,394+168,692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168,692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72,394+168,692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1E4ACE" w:rsidRPr="001E4ACE" w:rsidRDefault="00CC5829" w:rsidP="00C41C3C">
      <w:pPr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=4,93%</m:t>
          </m:r>
        </m:oMath>
      </m:oMathPara>
    </w:p>
    <w:p w:rsidR="001E4ACE" w:rsidRDefault="001E4ACE" w:rsidP="00C41C3C">
      <w:pPr>
        <w:jc w:val="both"/>
        <w:rPr>
          <w:b/>
        </w:rPr>
      </w:pPr>
    </w:p>
    <w:p w:rsidR="001E4ACE" w:rsidRPr="001E4ACE" w:rsidRDefault="00CC5829" w:rsidP="001E4ACE">
      <w:pPr>
        <w:jc w:val="center"/>
        <w:rPr>
          <w:rFonts w:eastAsiaTheme="minorEastAsia"/>
          <w:sz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bursátil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</w:rPr>
            <m:t>12.685%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769,319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769,319+168,692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168,692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769,319+168,692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1E4ACE" w:rsidRPr="001E4ACE" w:rsidRDefault="00CC5829" w:rsidP="001E4ACE">
      <w:pPr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 xml:space="preserve">WACC valor bursátil 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=10.69%</m:t>
          </m:r>
        </m:oMath>
      </m:oMathPara>
    </w:p>
    <w:p w:rsidR="001E4ACE" w:rsidRDefault="001E4ACE" w:rsidP="00C41C3C">
      <w:pPr>
        <w:jc w:val="both"/>
        <w:rPr>
          <w:b/>
        </w:rPr>
      </w:pPr>
    </w:p>
    <w:p w:rsidR="004C1FE0" w:rsidRPr="002F185F" w:rsidRDefault="000A3C8F" w:rsidP="00C41C3C">
      <w:pPr>
        <w:jc w:val="both"/>
        <w:rPr>
          <w:b/>
        </w:rPr>
      </w:pPr>
      <w:r w:rsidRPr="002F185F">
        <w:rPr>
          <w:b/>
        </w:rPr>
        <w:t xml:space="preserve">Conclusiones: </w:t>
      </w:r>
    </w:p>
    <w:p w:rsidR="002F185F" w:rsidRDefault="002F185F" w:rsidP="00C41C3C">
      <w:pPr>
        <w:jc w:val="both"/>
      </w:pPr>
      <w:r>
        <w:t>El análisis realizado es fundamental tanto para la evaluación de las inversiones de Microsoft como para su valoración empresarial y de esta manera definir su posición de riesgo financiero para sus decisiones de inversión. Para la valoración empresarial de Microsoft el WACC en libros es irrelevante y podría darse resultados errados, es recomendable usar el WACC bursátil por cuanto refleja el valor actual y de momento para su correcta valoración, el WACC en libros refleja una información histórica y desactualizada.</w:t>
      </w:r>
    </w:p>
    <w:p w:rsidR="00FE1903" w:rsidRDefault="00FE1903" w:rsidP="00C41C3C">
      <w:pPr>
        <w:jc w:val="both"/>
      </w:pPr>
    </w:p>
    <w:p w:rsidR="00FE1903" w:rsidRDefault="00FE1903" w:rsidP="00C41C3C">
      <w:pPr>
        <w:jc w:val="both"/>
      </w:pPr>
    </w:p>
    <w:p w:rsidR="00067B69" w:rsidRPr="000A3C8F" w:rsidRDefault="00067B69" w:rsidP="00C41C3C">
      <w:pPr>
        <w:jc w:val="both"/>
        <w:rPr>
          <w:b/>
        </w:rPr>
      </w:pPr>
      <w:r>
        <w:rPr>
          <w:b/>
        </w:rPr>
        <w:lastRenderedPageBreak/>
        <w:t xml:space="preserve">CASO </w:t>
      </w:r>
      <w:r w:rsidR="00357914">
        <w:rPr>
          <w:b/>
        </w:rPr>
        <w:t>2</w:t>
      </w:r>
      <w:r>
        <w:rPr>
          <w:b/>
        </w:rPr>
        <w:t>: A</w:t>
      </w:r>
      <w:r w:rsidR="00357914">
        <w:rPr>
          <w:b/>
        </w:rPr>
        <w:t>mazon</w:t>
      </w:r>
    </w:p>
    <w:p w:rsidR="00357914" w:rsidRDefault="00357914" w:rsidP="00C41C3C">
      <w:pPr>
        <w:jc w:val="both"/>
      </w:pPr>
      <w:r>
        <w:t>La empresa Amazon cotiza en el mercado norteamericano en el NASDAQ, a continuación se presenta un resumen del balance al 2017</w:t>
      </w:r>
      <w:r w:rsidR="001250D1">
        <w:t xml:space="preserve"> </w:t>
      </w:r>
      <w:r w:rsidR="0086333E">
        <w:rPr>
          <w:rFonts w:ascii="Arial Narrow" w:hAnsi="Arial Narrow"/>
          <w:b/>
          <w:i/>
          <w:sz w:val="24"/>
          <w:szCs w:val="24"/>
          <w:lang w:val="es-ES"/>
        </w:rPr>
        <w:t>(e</w:t>
      </w:r>
      <w:r w:rsidR="001250D1">
        <w:rPr>
          <w:rFonts w:ascii="Arial Narrow" w:hAnsi="Arial Narrow"/>
          <w:b/>
          <w:i/>
          <w:sz w:val="24"/>
          <w:szCs w:val="24"/>
          <w:lang w:val="es-ES"/>
        </w:rPr>
        <w:t>n millones de dólares)</w:t>
      </w:r>
      <w:r>
        <w:t>. Se pide calcular el costo promedio ponderado (WACC) tanto para valor en libros como para valor bursátil, utilizando la teoría del CAPM.</w:t>
      </w:r>
    </w:p>
    <w:tbl>
      <w:tblPr>
        <w:tblStyle w:val="Tablaconcuadrcula"/>
        <w:tblW w:w="8918" w:type="dxa"/>
        <w:tblInd w:w="-5" w:type="dxa"/>
        <w:tblLook w:val="04A0" w:firstRow="1" w:lastRow="0" w:firstColumn="1" w:lastColumn="0" w:noHBand="0" w:noVBand="1"/>
      </w:tblPr>
      <w:tblGrid>
        <w:gridCol w:w="2346"/>
        <w:gridCol w:w="1594"/>
        <w:gridCol w:w="3018"/>
        <w:gridCol w:w="1960"/>
      </w:tblGrid>
      <w:tr w:rsidR="003558C0" w:rsidRPr="004C09FC" w:rsidTr="008B37D5">
        <w:trPr>
          <w:trHeight w:val="443"/>
        </w:trPr>
        <w:tc>
          <w:tcPr>
            <w:tcW w:w="8918" w:type="dxa"/>
            <w:gridSpan w:val="4"/>
            <w:shd w:val="clear" w:color="auto" w:fill="002060"/>
            <w:vAlign w:val="center"/>
          </w:tcPr>
          <w:p w:rsidR="003558C0" w:rsidRPr="004C09FC" w:rsidRDefault="003558C0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A07046"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  <w:t>Balance General</w:t>
            </w:r>
          </w:p>
        </w:tc>
      </w:tr>
      <w:tr w:rsidR="003558C0" w:rsidRPr="004C09FC" w:rsidTr="00A5457D">
        <w:trPr>
          <w:trHeight w:val="281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3558C0" w:rsidRPr="004C09FC" w:rsidRDefault="003558C0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Activos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3558C0" w:rsidRPr="004C09FC" w:rsidRDefault="003558C0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3558C0" w:rsidRPr="004C09FC" w:rsidRDefault="003558C0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Pasivos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3558C0" w:rsidRPr="004C09FC" w:rsidRDefault="003558C0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</w:tr>
      <w:tr w:rsidR="00A806B0" w:rsidRPr="004C09FC" w:rsidTr="00A806B0">
        <w:trPr>
          <w:trHeight w:val="563"/>
        </w:trPr>
        <w:tc>
          <w:tcPr>
            <w:tcW w:w="2346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Corrientes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60,197</w:t>
            </w:r>
          </w:p>
        </w:tc>
        <w:tc>
          <w:tcPr>
            <w:tcW w:w="3018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Corrientes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57,883</w:t>
            </w:r>
          </w:p>
        </w:tc>
      </w:tr>
      <w:tr w:rsidR="00A806B0" w:rsidRPr="004C09FC" w:rsidTr="00A806B0">
        <w:trPr>
          <w:trHeight w:val="580"/>
        </w:trPr>
        <w:tc>
          <w:tcPr>
            <w:tcW w:w="2346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No Corrientes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71,113</w:t>
            </w:r>
          </w:p>
        </w:tc>
        <w:tc>
          <w:tcPr>
            <w:tcW w:w="3018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No Corrientes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45,718</w:t>
            </w:r>
          </w:p>
        </w:tc>
      </w:tr>
      <w:tr w:rsidR="00A806B0" w:rsidRPr="004C09FC" w:rsidTr="00A806B0">
        <w:trPr>
          <w:trHeight w:val="281"/>
        </w:trPr>
        <w:tc>
          <w:tcPr>
            <w:tcW w:w="2346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de Deuda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103,601</w:t>
            </w:r>
          </w:p>
        </w:tc>
      </w:tr>
      <w:tr w:rsidR="00A806B0" w:rsidRPr="004C09FC" w:rsidTr="00A806B0">
        <w:trPr>
          <w:trHeight w:val="281"/>
        </w:trPr>
        <w:tc>
          <w:tcPr>
            <w:tcW w:w="2346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 w:rsidRPr="004C09FC">
              <w:rPr>
                <w:rFonts w:ascii="Arial Narrow" w:hAnsi="Arial Narrow"/>
                <w:sz w:val="24"/>
                <w:szCs w:val="26"/>
              </w:rPr>
              <w:t>Equity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27,709</w:t>
            </w:r>
          </w:p>
        </w:tc>
      </w:tr>
      <w:tr w:rsidR="00A806B0" w:rsidRPr="004C09FC" w:rsidTr="00A806B0">
        <w:trPr>
          <w:trHeight w:val="563"/>
        </w:trPr>
        <w:tc>
          <w:tcPr>
            <w:tcW w:w="2346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Activos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131,310</w:t>
            </w:r>
          </w:p>
        </w:tc>
        <w:tc>
          <w:tcPr>
            <w:tcW w:w="3018" w:type="dxa"/>
            <w:vAlign w:val="center"/>
          </w:tcPr>
          <w:p w:rsidR="00A806B0" w:rsidRPr="004C09FC" w:rsidRDefault="00A806B0" w:rsidP="00A806B0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Pasivos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B0" w:rsidRDefault="00A806B0" w:rsidP="00A806B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131,310</w:t>
            </w:r>
          </w:p>
        </w:tc>
      </w:tr>
    </w:tbl>
    <w:p w:rsidR="003558C0" w:rsidRDefault="00393A67" w:rsidP="00C41C3C">
      <w:pPr>
        <w:jc w:val="both"/>
      </w:pPr>
      <w:r w:rsidRPr="00852A4B">
        <w:rPr>
          <w:rFonts w:ascii="Arial Narrow" w:hAnsi="Arial Narrow"/>
          <w:b/>
          <w:i/>
          <w:noProof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8D4A7" wp14:editId="5162D85E">
                <wp:simplePos x="0" y="0"/>
                <wp:positionH relativeFrom="margin">
                  <wp:posOffset>514350</wp:posOffset>
                </wp:positionH>
                <wp:positionV relativeFrom="paragraph">
                  <wp:posOffset>83820</wp:posOffset>
                </wp:positionV>
                <wp:extent cx="5133975" cy="4381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9004C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4"/>
                                <w:lang w:val="es-ES"/>
                              </w:rPr>
                              <w:t>Fuente:</w:t>
                            </w:r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Finance.yahoo.com. (2018).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Yahoo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Finance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online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] Available at: </w:t>
                            </w:r>
                            <w:hyperlink r:id="rId9" w:history="1">
                              <w:r w:rsidRPr="00067E07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8"/>
                                  <w:szCs w:val="24"/>
                                  <w:lang w:val="en-US"/>
                                </w:rPr>
                                <w:t>https://finance.yahoo.com/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[17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jul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.</w:t>
                            </w:r>
                            <w:proofErr w:type="spell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2018].</w:t>
                            </w:r>
                          </w:p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D4A7" id="_x0000_s1027" type="#_x0000_t202" style="position:absolute;left:0;text-align:left;margin-left:40.5pt;margin-top:6.6pt;width:404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" filled="f" stroked="f">
                <v:textbox>
                  <w:txbxContent>
                    <w:p w:rsidR="00393A67" w:rsidRPr="00067E07" w:rsidRDefault="00393A67" w:rsidP="00393A67">
                      <w:pPr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9004C2">
                        <w:rPr>
                          <w:rFonts w:ascii="Arial" w:hAnsi="Arial" w:cs="Arial"/>
                          <w:b/>
                          <w:i/>
                          <w:sz w:val="18"/>
                          <w:szCs w:val="24"/>
                          <w:lang w:val="es-ES"/>
                        </w:rPr>
                        <w:t>Fuente:</w:t>
                      </w:r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Finance.yahoo.com. (2018).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Yahoo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Finance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. </w:t>
                      </w:r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[</w:t>
                      </w:r>
                      <w:proofErr w:type="gramStart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online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] Available at: </w:t>
                      </w:r>
                      <w:hyperlink r:id="rId10" w:history="1">
                        <w:r w:rsidRPr="00067E07">
                          <w:rPr>
                            <w:rStyle w:val="Hipervnculo"/>
                            <w:rFonts w:ascii="Arial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>https://finance.yahoo.com/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[17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jul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.</w:t>
                      </w:r>
                      <w:proofErr w:type="spell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2018].</w:t>
                      </w:r>
                    </w:p>
                    <w:p w:rsidR="00393A67" w:rsidRPr="00067E07" w:rsidRDefault="00393A67" w:rsidP="00393A67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7914" w:rsidRDefault="00357914" w:rsidP="00C41C3C">
      <w:pPr>
        <w:jc w:val="both"/>
      </w:pPr>
      <w:r>
        <w:t>Solución:</w:t>
      </w:r>
    </w:p>
    <w:p w:rsidR="00A806B0" w:rsidRDefault="00357914" w:rsidP="00C41C3C">
      <w:pPr>
        <w:jc w:val="both"/>
      </w:pPr>
      <w:r>
        <w:t>Para proceder a calcular el costo promedio ponderado (WACC) de la empresa Amazon seguimos los pasos anteriores.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A806B0" w:rsidRPr="004C09FC" w:rsidTr="008B37D5">
        <w:trPr>
          <w:trHeight w:val="312"/>
        </w:trPr>
        <w:tc>
          <w:tcPr>
            <w:tcW w:w="5382" w:type="dxa"/>
            <w:shd w:val="clear" w:color="auto" w:fill="002060"/>
            <w:vAlign w:val="center"/>
          </w:tcPr>
          <w:p w:rsidR="00A806B0" w:rsidRPr="004C09FC" w:rsidRDefault="00A806B0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Amazon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A806B0" w:rsidRPr="004C09FC" w:rsidRDefault="00A806B0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2017</w:t>
            </w:r>
          </w:p>
        </w:tc>
      </w:tr>
      <w:tr w:rsidR="00A806B0" w:rsidRPr="004C09FC" w:rsidTr="00BF0469">
        <w:trPr>
          <w:trHeight w:val="3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Pr="00E71EA3" w:rsidRDefault="00A806B0" w:rsidP="00A806B0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Beta(β)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D84753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A806B0">
              <w:rPr>
                <w:rFonts w:ascii="Calibri" w:hAnsi="Calibri"/>
                <w:color w:val="000000"/>
              </w:rPr>
              <w:t>70</w:t>
            </w:r>
          </w:p>
        </w:tc>
      </w:tr>
      <w:tr w:rsidR="00A806B0" w:rsidRPr="004C09FC" w:rsidTr="00BF0469">
        <w:trPr>
          <w:trHeight w:val="3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Pr="00E71EA3" w:rsidRDefault="00A806B0" w:rsidP="00A806B0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Rendimiento de  bono norteamericano por 10 años(K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D84753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A806B0">
              <w:rPr>
                <w:rFonts w:ascii="Calibri" w:hAnsi="Calibri"/>
                <w:color w:val="000000"/>
              </w:rPr>
              <w:t>957%</w:t>
            </w:r>
          </w:p>
        </w:tc>
      </w:tr>
      <w:tr w:rsidR="00A806B0" w:rsidRPr="004C09FC" w:rsidTr="00BF0469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Pr="00E71EA3" w:rsidRDefault="00A806B0" w:rsidP="00A806B0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Prima de riesgo (K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M</w:t>
            </w:r>
            <w:r w:rsidRPr="00E71EA3">
              <w:rPr>
                <w:rFonts w:ascii="Calibri" w:hAnsi="Calibri"/>
                <w:color w:val="000000"/>
              </w:rPr>
              <w:t>-K</w:t>
            </w:r>
            <w:r w:rsidRPr="00E71EA3">
              <w:rPr>
                <w:rFonts w:ascii="Calibri" w:hAnsi="Calibri"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D84753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  <w:r w:rsidR="00A806B0">
              <w:rPr>
                <w:rFonts w:ascii="Calibri" w:hAnsi="Calibri"/>
                <w:color w:val="000000"/>
              </w:rPr>
              <w:t>6%</w:t>
            </w:r>
          </w:p>
        </w:tc>
      </w:tr>
      <w:tr w:rsidR="00A806B0" w:rsidRPr="004C09FC" w:rsidTr="00BF0469">
        <w:trPr>
          <w:trHeight w:val="3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Pr="00E71EA3" w:rsidRDefault="00A806B0" w:rsidP="00A806B0">
            <w:pPr>
              <w:rPr>
                <w:rFonts w:ascii="Calibri" w:hAnsi="Calibri"/>
                <w:color w:val="000000"/>
              </w:rPr>
            </w:pPr>
            <w:r w:rsidRPr="00E71EA3">
              <w:rPr>
                <w:rFonts w:ascii="Calibri" w:hAnsi="Calibri"/>
                <w:color w:val="000000"/>
              </w:rPr>
              <w:t>Costo de los fondos propios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 xml:space="preserve"> [Ke= 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+β(K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M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-K</w:t>
            </w:r>
            <w:r w:rsidRPr="00E71EA3">
              <w:rPr>
                <w:rFonts w:ascii="Calibri" w:hAnsi="Calibri"/>
                <w:b/>
                <w:bCs/>
                <w:color w:val="000000"/>
                <w:vertAlign w:val="subscript"/>
              </w:rPr>
              <w:t>R</w:t>
            </w:r>
            <w:r w:rsidRPr="00E71EA3">
              <w:rPr>
                <w:rFonts w:ascii="Calibri" w:hAnsi="Calibri"/>
                <w:b/>
                <w:bCs/>
                <w:color w:val="000000"/>
              </w:rPr>
              <w:t>)]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D84753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  <w:r w:rsidR="00A806B0">
              <w:rPr>
                <w:rFonts w:ascii="Calibri" w:hAnsi="Calibri"/>
                <w:color w:val="000000"/>
              </w:rPr>
              <w:t>877%</w:t>
            </w:r>
          </w:p>
        </w:tc>
      </w:tr>
      <w:tr w:rsidR="00A806B0" w:rsidRPr="004C09FC" w:rsidTr="00BF0469">
        <w:trPr>
          <w:trHeight w:val="3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Default="00A806B0" w:rsidP="00A806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Capital(C)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27,709</w:t>
            </w:r>
          </w:p>
        </w:tc>
      </w:tr>
      <w:tr w:rsidR="00A806B0" w:rsidRPr="004C09FC" w:rsidTr="00BF0469">
        <w:trPr>
          <w:trHeight w:val="3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Deuda(D)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103,601</w:t>
            </w:r>
          </w:p>
        </w:tc>
      </w:tr>
      <w:tr w:rsidR="00A806B0" w:rsidRPr="004C09FC" w:rsidTr="00BF0469">
        <w:trPr>
          <w:trHeight w:val="31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Tasa impositiva(T)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</w:t>
            </w:r>
          </w:p>
        </w:tc>
      </w:tr>
      <w:tr w:rsidR="00A806B0" w:rsidRPr="004C09FC" w:rsidTr="00BF0469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806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Tasa de interés(Kd)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D84753" w:rsidP="00A806B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A806B0">
              <w:rPr>
                <w:rFonts w:ascii="Calibri" w:hAnsi="Calibri"/>
                <w:color w:val="000000"/>
              </w:rPr>
              <w:t>00%</w:t>
            </w:r>
          </w:p>
        </w:tc>
      </w:tr>
      <w:tr w:rsidR="00A806B0" w:rsidRPr="004C09FC" w:rsidTr="00A5457D">
        <w:trPr>
          <w:trHeight w:val="3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806B0" w:rsidRDefault="00A806B0" w:rsidP="00A5457D">
            <w:pPr>
              <w:rPr>
                <w:rFonts w:ascii="Calibri" w:hAnsi="Calibri"/>
                <w:color w:val="000000"/>
              </w:rPr>
            </w:pPr>
            <w:r>
              <w:t xml:space="preserve">Índice de capitalización bursátil  </w:t>
            </w:r>
            <w:r w:rsidRPr="00A13024">
              <w:rPr>
                <w:rFonts w:ascii="Calibri" w:hAnsi="Calibri"/>
                <w:color w:val="000000"/>
              </w:rPr>
              <w:t>(17/06/18-10:00am)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B0" w:rsidRDefault="00A806B0" w:rsidP="00A5457D">
            <w:pPr>
              <w:jc w:val="center"/>
              <w:rPr>
                <w:rFonts w:ascii="Calibri" w:hAnsi="Calibri"/>
                <w:color w:val="000000"/>
              </w:rPr>
            </w:pPr>
            <w:r w:rsidRPr="00A806B0">
              <w:rPr>
                <w:rFonts w:ascii="Calibri" w:hAnsi="Calibri"/>
                <w:color w:val="000000"/>
              </w:rPr>
              <w:t>832</w:t>
            </w:r>
            <w:r>
              <w:rPr>
                <w:rFonts w:ascii="Calibri" w:hAnsi="Calibri"/>
                <w:color w:val="000000"/>
              </w:rPr>
              <w:t>,</w:t>
            </w:r>
            <w:r w:rsidRPr="00A806B0">
              <w:rPr>
                <w:rFonts w:ascii="Calibri" w:hAnsi="Calibri"/>
                <w:color w:val="000000"/>
              </w:rPr>
              <w:t>635</w:t>
            </w:r>
          </w:p>
        </w:tc>
      </w:tr>
    </w:tbl>
    <w:p w:rsidR="00A806B0" w:rsidRPr="001E4ACE" w:rsidRDefault="00A806B0" w:rsidP="00A806B0">
      <w:pPr>
        <w:jc w:val="both"/>
      </w:pPr>
    </w:p>
    <w:p w:rsidR="00A806B0" w:rsidRPr="00A806B0" w:rsidRDefault="00CC5829" w:rsidP="00A806B0">
      <w:pPr>
        <w:jc w:val="center"/>
        <w:rPr>
          <w:rFonts w:eastAsiaTheme="minorEastAsia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</w:rPr>
            <m:t>15,877%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27,709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27,709+103,601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103,601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27,709+103,601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A806B0" w:rsidRPr="001E4ACE" w:rsidRDefault="00A806B0" w:rsidP="00A806B0">
      <w:pPr>
        <w:jc w:val="center"/>
        <w:rPr>
          <w:rFonts w:eastAsiaTheme="minorEastAsia"/>
          <w:sz w:val="18"/>
        </w:rPr>
      </w:pPr>
    </w:p>
    <w:p w:rsidR="00A806B0" w:rsidRPr="001E4ACE" w:rsidRDefault="00CC5829" w:rsidP="00A806B0">
      <w:pPr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=4.61%</m:t>
          </m:r>
        </m:oMath>
      </m:oMathPara>
    </w:p>
    <w:p w:rsidR="00A806B0" w:rsidRDefault="00A806B0" w:rsidP="00A806B0">
      <w:pPr>
        <w:jc w:val="both"/>
        <w:rPr>
          <w:b/>
        </w:rPr>
      </w:pPr>
    </w:p>
    <w:p w:rsidR="00A806B0" w:rsidRPr="00A806B0" w:rsidRDefault="00CC5829" w:rsidP="00A806B0">
      <w:pPr>
        <w:jc w:val="center"/>
        <w:rPr>
          <w:rFonts w:eastAsiaTheme="minorEastAsia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bursátil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sz w:val="20"/>
            </w:rPr>
            <m:t>15,877%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832,635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832,635+103,601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103,601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832,635+103,601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A806B0" w:rsidRPr="001E4ACE" w:rsidRDefault="00A806B0" w:rsidP="00A806B0">
      <w:pPr>
        <w:jc w:val="center"/>
        <w:rPr>
          <w:rFonts w:eastAsiaTheme="minorEastAsia"/>
          <w:sz w:val="18"/>
        </w:rPr>
      </w:pPr>
    </w:p>
    <w:p w:rsidR="00A806B0" w:rsidRPr="001E4ACE" w:rsidRDefault="00CC5829" w:rsidP="00A806B0">
      <w:pPr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 xml:space="preserve">WACC valor bursátil 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=14.30%</m:t>
          </m:r>
        </m:oMath>
      </m:oMathPara>
    </w:p>
    <w:p w:rsidR="00A806B0" w:rsidRDefault="00A806B0" w:rsidP="00C41C3C">
      <w:pPr>
        <w:jc w:val="both"/>
        <w:rPr>
          <w:b/>
        </w:rPr>
      </w:pPr>
    </w:p>
    <w:p w:rsidR="00357914" w:rsidRPr="002F185F" w:rsidRDefault="00357914" w:rsidP="00C41C3C">
      <w:pPr>
        <w:jc w:val="both"/>
        <w:rPr>
          <w:b/>
        </w:rPr>
      </w:pPr>
      <w:r w:rsidRPr="002F185F">
        <w:rPr>
          <w:b/>
        </w:rPr>
        <w:t xml:space="preserve">Conclusiones: </w:t>
      </w:r>
    </w:p>
    <w:p w:rsidR="00357914" w:rsidRDefault="00357914" w:rsidP="00C41C3C">
      <w:pPr>
        <w:jc w:val="both"/>
      </w:pPr>
      <w:r>
        <w:t>Para análisis de Amazon podemos concluir que existe una gran diferen</w:t>
      </w:r>
      <w:r w:rsidR="003B50D0">
        <w:t>cia entre el WACC en libros 4.61% y 3</w:t>
      </w:r>
      <w:r>
        <w:t xml:space="preserve"> veces </w:t>
      </w:r>
      <w:r w:rsidR="003B50D0">
        <w:t>mayor el WACC bursátil con 14.30</w:t>
      </w:r>
      <w:r>
        <w:t xml:space="preserve">%, esto es debido a una expectativa de crecimiento a futuro en la valoración empresarial por parte de los inversionistas. Tal como señalamos en el caso anterior, es vital que en las decisiones de valoración y evaluaciones de proyectos de esta compañía se use correctamente el costo promedio ponderado (WACC) y así evitar errores en las decisiones de inversión. </w:t>
      </w:r>
    </w:p>
    <w:p w:rsidR="00996A3F" w:rsidRDefault="00C3076F" w:rsidP="00C3076F">
      <w:pPr>
        <w:jc w:val="both"/>
        <w:rPr>
          <w:b/>
        </w:rPr>
      </w:pPr>
      <w:r>
        <w:rPr>
          <w:b/>
        </w:rPr>
        <w:t xml:space="preserve">CASO 3: Exxon </w:t>
      </w:r>
      <w:proofErr w:type="spellStart"/>
      <w:r>
        <w:rPr>
          <w:b/>
        </w:rPr>
        <w:t>Mobil</w:t>
      </w:r>
      <w:proofErr w:type="spellEnd"/>
    </w:p>
    <w:p w:rsidR="00C3076F" w:rsidRDefault="00C3076F" w:rsidP="00C3076F">
      <w:pPr>
        <w:jc w:val="both"/>
      </w:pPr>
      <w:r>
        <w:t xml:space="preserve">La empresa Exxon </w:t>
      </w:r>
      <w:proofErr w:type="spellStart"/>
      <w:r>
        <w:t>Mobil</w:t>
      </w:r>
      <w:proofErr w:type="spellEnd"/>
      <w:r>
        <w:t xml:space="preserve"> cotiza en el mercado norteamericano en el NYSE, a continuación se presenta un resumen del balance al 2017</w:t>
      </w:r>
      <w:r w:rsidR="001250D1">
        <w:t xml:space="preserve"> </w:t>
      </w:r>
      <w:r w:rsidR="0086333E">
        <w:rPr>
          <w:rFonts w:ascii="Arial Narrow" w:hAnsi="Arial Narrow"/>
          <w:b/>
          <w:i/>
          <w:sz w:val="24"/>
          <w:szCs w:val="24"/>
          <w:lang w:val="es-ES"/>
        </w:rPr>
        <w:t>(e</w:t>
      </w:r>
      <w:r w:rsidR="001250D1">
        <w:rPr>
          <w:rFonts w:ascii="Arial Narrow" w:hAnsi="Arial Narrow"/>
          <w:b/>
          <w:i/>
          <w:sz w:val="24"/>
          <w:szCs w:val="24"/>
          <w:lang w:val="es-ES"/>
        </w:rPr>
        <w:t>n millones de dólares)</w:t>
      </w:r>
      <w:r>
        <w:t>. Se pide calcular el costo promedio ponderado (WACC) tanto para valor en libros como para valor bursátil, utilizando la teoría del CAPM.</w:t>
      </w:r>
    </w:p>
    <w:tbl>
      <w:tblPr>
        <w:tblStyle w:val="Tablaconcuadrcula"/>
        <w:tblW w:w="8918" w:type="dxa"/>
        <w:tblInd w:w="-5" w:type="dxa"/>
        <w:tblLook w:val="04A0" w:firstRow="1" w:lastRow="0" w:firstColumn="1" w:lastColumn="0" w:noHBand="0" w:noVBand="1"/>
      </w:tblPr>
      <w:tblGrid>
        <w:gridCol w:w="2346"/>
        <w:gridCol w:w="1594"/>
        <w:gridCol w:w="3018"/>
        <w:gridCol w:w="1960"/>
      </w:tblGrid>
      <w:tr w:rsidR="00C3076F" w:rsidRPr="004C09FC" w:rsidTr="008B37D5">
        <w:trPr>
          <w:trHeight w:val="443"/>
        </w:trPr>
        <w:tc>
          <w:tcPr>
            <w:tcW w:w="8918" w:type="dxa"/>
            <w:gridSpan w:val="4"/>
            <w:shd w:val="clear" w:color="auto" w:fill="002060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A07046"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  <w:t>Balance General</w:t>
            </w:r>
          </w:p>
        </w:tc>
      </w:tr>
      <w:tr w:rsidR="00C3076F" w:rsidRPr="004C09FC" w:rsidTr="00A5457D">
        <w:trPr>
          <w:trHeight w:val="281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Activos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Pasivos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2017</w:t>
            </w:r>
          </w:p>
        </w:tc>
      </w:tr>
      <w:tr w:rsidR="00C3076F" w:rsidRPr="004C09FC" w:rsidTr="00C3076F">
        <w:trPr>
          <w:trHeight w:val="563"/>
        </w:trPr>
        <w:tc>
          <w:tcPr>
            <w:tcW w:w="2346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Corrientes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47,134</w:t>
            </w:r>
          </w:p>
        </w:tc>
        <w:tc>
          <w:tcPr>
            <w:tcW w:w="3018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Corrientes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57,771</w:t>
            </w:r>
          </w:p>
        </w:tc>
      </w:tr>
      <w:tr w:rsidR="00C3076F" w:rsidRPr="004C09FC" w:rsidTr="00C3076F">
        <w:trPr>
          <w:trHeight w:val="580"/>
        </w:trPr>
        <w:tc>
          <w:tcPr>
            <w:tcW w:w="2346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Activos No Corrientes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301,557</w:t>
            </w:r>
          </w:p>
        </w:tc>
        <w:tc>
          <w:tcPr>
            <w:tcW w:w="3018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Pasivos No Corrientes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103,232</w:t>
            </w:r>
          </w:p>
        </w:tc>
      </w:tr>
      <w:tr w:rsidR="00C3076F" w:rsidRPr="004C09FC" w:rsidTr="00C3076F">
        <w:trPr>
          <w:trHeight w:val="281"/>
        </w:trPr>
        <w:tc>
          <w:tcPr>
            <w:tcW w:w="2346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4C09FC">
              <w:rPr>
                <w:rFonts w:ascii="Arial Narrow" w:hAnsi="Arial Narrow"/>
                <w:sz w:val="24"/>
                <w:szCs w:val="26"/>
              </w:rPr>
              <w:t>Total de Deuda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161,003</w:t>
            </w:r>
          </w:p>
        </w:tc>
      </w:tr>
      <w:tr w:rsidR="00C3076F" w:rsidRPr="004C09FC" w:rsidTr="00C3076F">
        <w:trPr>
          <w:trHeight w:val="281"/>
        </w:trPr>
        <w:tc>
          <w:tcPr>
            <w:tcW w:w="2346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18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proofErr w:type="spellStart"/>
            <w:r w:rsidRPr="004C09FC">
              <w:rPr>
                <w:rFonts w:ascii="Arial Narrow" w:hAnsi="Arial Narrow"/>
                <w:sz w:val="24"/>
                <w:szCs w:val="26"/>
              </w:rPr>
              <w:t>Equity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187,688</w:t>
            </w:r>
          </w:p>
        </w:tc>
      </w:tr>
      <w:tr w:rsidR="00C3076F" w:rsidRPr="004C09FC" w:rsidTr="00C3076F">
        <w:trPr>
          <w:trHeight w:val="563"/>
        </w:trPr>
        <w:tc>
          <w:tcPr>
            <w:tcW w:w="2346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Activos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348,691</w:t>
            </w:r>
          </w:p>
        </w:tc>
        <w:tc>
          <w:tcPr>
            <w:tcW w:w="3018" w:type="dxa"/>
            <w:vAlign w:val="center"/>
          </w:tcPr>
          <w:p w:rsidR="00C3076F" w:rsidRPr="004C09FC" w:rsidRDefault="00C3076F" w:rsidP="00C3076F">
            <w:pPr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4C09FC">
              <w:rPr>
                <w:rFonts w:ascii="Arial Narrow" w:hAnsi="Arial Narrow"/>
                <w:b/>
                <w:sz w:val="24"/>
                <w:szCs w:val="26"/>
              </w:rPr>
              <w:t>Total de Pasivos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6F" w:rsidRDefault="00C3076F" w:rsidP="00C307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348,691</w:t>
            </w:r>
          </w:p>
        </w:tc>
      </w:tr>
    </w:tbl>
    <w:p w:rsidR="00C3076F" w:rsidRDefault="00393A67" w:rsidP="00C3076F">
      <w:pPr>
        <w:jc w:val="both"/>
      </w:pPr>
      <w:r w:rsidRPr="00852A4B">
        <w:rPr>
          <w:rFonts w:ascii="Arial Narrow" w:hAnsi="Arial Narrow"/>
          <w:b/>
          <w:i/>
          <w:noProof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37971" wp14:editId="7946BC63">
                <wp:simplePos x="0" y="0"/>
                <wp:positionH relativeFrom="margin">
                  <wp:posOffset>523875</wp:posOffset>
                </wp:positionH>
                <wp:positionV relativeFrom="paragraph">
                  <wp:posOffset>73660</wp:posOffset>
                </wp:positionV>
                <wp:extent cx="5133975" cy="4381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9004C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4"/>
                                <w:lang w:val="es-ES"/>
                              </w:rPr>
                              <w:t>Fuente:</w:t>
                            </w:r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Finance.yahoo.com. (2018).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Yahoo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>Finance</w:t>
                            </w:r>
                            <w:proofErr w:type="spellEnd"/>
                            <w:r w:rsidRPr="009004C2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online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] Available at: </w:t>
                            </w:r>
                            <w:hyperlink r:id="rId11" w:history="1">
                              <w:r w:rsidRPr="00067E07"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8"/>
                                  <w:szCs w:val="24"/>
                                  <w:lang w:val="en-US"/>
                                </w:rPr>
                                <w:t>https://finance.yahoo.com/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[27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jul</w:t>
                            </w:r>
                            <w:proofErr w:type="gram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>.</w:t>
                            </w:r>
                            <w:proofErr w:type="spellEnd"/>
                            <w:r w:rsidRPr="00067E07">
                              <w:rPr>
                                <w:rFonts w:ascii="Arial" w:hAnsi="Arial" w:cs="Arial"/>
                                <w:i/>
                                <w:sz w:val="18"/>
                                <w:szCs w:val="24"/>
                                <w:lang w:val="en-US"/>
                              </w:rPr>
                              <w:t xml:space="preserve"> 2018].</w:t>
                            </w:r>
                          </w:p>
                          <w:p w:rsidR="00393A67" w:rsidRPr="00067E07" w:rsidRDefault="00393A67" w:rsidP="00393A6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7971" id="_x0000_s1028" type="#_x0000_t202" style="position:absolute;left:0;text-align:left;margin-left:41.25pt;margin-top:5.8pt;width:404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4KEgIAAAAEAAAOAAAAZHJzL2Uyb0RvYy54bWysU9uO2yAQfa/Uf0C8N06cuJtYcVbbbLeq&#10;tL1I234AARyjAkOBxE6/vgPOZqP2raofEHhmDnPOHNa3g9HkKH1QYBs6m0wpkZaDUHbf0O/fHt4s&#10;KQ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" filled="f" stroked="f">
                <v:textbox>
                  <w:txbxContent>
                    <w:p w:rsidR="00393A67" w:rsidRPr="00067E07" w:rsidRDefault="00393A67" w:rsidP="00393A67">
                      <w:pPr>
                        <w:jc w:val="right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9004C2">
                        <w:rPr>
                          <w:rFonts w:ascii="Arial" w:hAnsi="Arial" w:cs="Arial"/>
                          <w:b/>
                          <w:i/>
                          <w:sz w:val="18"/>
                          <w:szCs w:val="24"/>
                          <w:lang w:val="es-ES"/>
                        </w:rPr>
                        <w:t>Fuente:</w:t>
                      </w:r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Finance.yahoo.com. (2018).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Yahoo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>Finance</w:t>
                      </w:r>
                      <w:proofErr w:type="spellEnd"/>
                      <w:r w:rsidRPr="009004C2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s-ES"/>
                        </w:rPr>
                        <w:t xml:space="preserve">. </w:t>
                      </w:r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[</w:t>
                      </w:r>
                      <w:proofErr w:type="gramStart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online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] Available at: </w:t>
                      </w:r>
                      <w:hyperlink r:id="rId12" w:history="1">
                        <w:r w:rsidRPr="00067E07">
                          <w:rPr>
                            <w:rStyle w:val="Hipervnculo"/>
                            <w:rFonts w:ascii="Arial" w:hAnsi="Arial" w:cs="Arial"/>
                            <w:i/>
                            <w:sz w:val="18"/>
                            <w:szCs w:val="24"/>
                            <w:lang w:val="en-US"/>
                          </w:rPr>
                          <w:t>https://finance.yahoo.com/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[27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jul</w:t>
                      </w:r>
                      <w:proofErr w:type="gram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>.</w:t>
                      </w:r>
                      <w:proofErr w:type="spellEnd"/>
                      <w:r w:rsidRPr="00067E07">
                        <w:rPr>
                          <w:rFonts w:ascii="Arial" w:hAnsi="Arial" w:cs="Arial"/>
                          <w:i/>
                          <w:sz w:val="18"/>
                          <w:szCs w:val="24"/>
                          <w:lang w:val="en-US"/>
                        </w:rPr>
                        <w:t xml:space="preserve"> 2018].</w:t>
                      </w:r>
                    </w:p>
                    <w:p w:rsidR="00393A67" w:rsidRPr="00067E07" w:rsidRDefault="00393A67" w:rsidP="00393A67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3A67" w:rsidRDefault="00393A67" w:rsidP="00C3076F">
      <w:pPr>
        <w:jc w:val="both"/>
      </w:pPr>
    </w:p>
    <w:p w:rsidR="00EE756D" w:rsidRDefault="00EE756D" w:rsidP="00C3076F">
      <w:pPr>
        <w:jc w:val="both"/>
      </w:pPr>
    </w:p>
    <w:p w:rsidR="00C3076F" w:rsidRDefault="00C3076F" w:rsidP="00C3076F">
      <w:pPr>
        <w:jc w:val="both"/>
      </w:pPr>
      <w:r>
        <w:t>Solución:</w:t>
      </w:r>
    </w:p>
    <w:p w:rsidR="00C3076F" w:rsidRDefault="00C3076F" w:rsidP="00C3076F">
      <w:pPr>
        <w:jc w:val="both"/>
      </w:pPr>
      <w:r>
        <w:t xml:space="preserve">Para proceder a calcular el costo promedio ponderado (WACC) de la empresa Exxon </w:t>
      </w:r>
      <w:proofErr w:type="spellStart"/>
      <w:r>
        <w:t>Mobil</w:t>
      </w:r>
      <w:proofErr w:type="spellEnd"/>
      <w:r>
        <w:t xml:space="preserve"> seguimos los pasos anteriores.</w:t>
      </w:r>
    </w:p>
    <w:p w:rsidR="00EE756D" w:rsidRDefault="00EE756D" w:rsidP="00C3076F">
      <w:pPr>
        <w:jc w:val="both"/>
      </w:pPr>
    </w:p>
    <w:p w:rsidR="00EE756D" w:rsidRDefault="00EE756D" w:rsidP="00C3076F">
      <w:pPr>
        <w:jc w:val="both"/>
      </w:pPr>
    </w:p>
    <w:p w:rsidR="00EE756D" w:rsidRDefault="00EE756D" w:rsidP="00C3076F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C3076F" w:rsidRPr="004C09FC" w:rsidTr="008B37D5">
        <w:trPr>
          <w:trHeight w:val="312"/>
        </w:trPr>
        <w:tc>
          <w:tcPr>
            <w:tcW w:w="5382" w:type="dxa"/>
            <w:shd w:val="clear" w:color="auto" w:fill="002060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lastRenderedPageBreak/>
              <w:t>Amazon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C3076F" w:rsidRPr="004C09FC" w:rsidRDefault="00C3076F" w:rsidP="00A545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</w:rPr>
              <w:t>2017</w:t>
            </w:r>
          </w:p>
        </w:tc>
      </w:tr>
      <w:tr w:rsidR="00C3076F" w:rsidRPr="005C18EF" w:rsidTr="00A5457D">
        <w:trPr>
          <w:trHeight w:val="3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Beta(β)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0.82</w:t>
            </w:r>
          </w:p>
        </w:tc>
      </w:tr>
      <w:tr w:rsidR="00C3076F" w:rsidRPr="005C18EF" w:rsidTr="00A5457D">
        <w:trPr>
          <w:trHeight w:val="3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Rendimiento de  bono norteamericano por 10 años(KR)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2.957%</w:t>
            </w:r>
          </w:p>
        </w:tc>
      </w:tr>
      <w:tr w:rsidR="00C3076F" w:rsidRPr="005C18EF" w:rsidTr="00A5457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Prima de riesgo (KM-KR)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7.6%</w:t>
            </w:r>
          </w:p>
        </w:tc>
      </w:tr>
      <w:tr w:rsidR="005C18EF" w:rsidRPr="005C18EF" w:rsidTr="00A5457D">
        <w:trPr>
          <w:trHeight w:val="30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Costo de los fondos propios [Ke= KR+β(KM-KR)]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9.189%</w:t>
            </w:r>
          </w:p>
        </w:tc>
      </w:tr>
      <w:tr w:rsidR="005C18EF" w:rsidRPr="005C18EF" w:rsidTr="00A5457D">
        <w:trPr>
          <w:trHeight w:val="3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Capital(C)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187,688</w:t>
            </w:r>
          </w:p>
        </w:tc>
      </w:tr>
      <w:tr w:rsidR="00C3076F" w:rsidRPr="005C18EF" w:rsidTr="00A5457D">
        <w:trPr>
          <w:trHeight w:val="3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Deuda(D)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161,003</w:t>
            </w:r>
          </w:p>
        </w:tc>
      </w:tr>
      <w:tr w:rsidR="00C3076F" w:rsidRPr="005C18EF" w:rsidTr="00A5457D">
        <w:trPr>
          <w:trHeight w:val="31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Tasa impositiva(T)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20%</w:t>
            </w:r>
          </w:p>
        </w:tc>
      </w:tr>
      <w:tr w:rsidR="00C3076F" w:rsidRPr="005C18EF" w:rsidTr="00A5457D">
        <w:trPr>
          <w:trHeight w:val="3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Tasa de interés(Kd)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C3076F" w:rsidP="00C3076F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2.00%</w:t>
            </w:r>
          </w:p>
        </w:tc>
      </w:tr>
      <w:tr w:rsidR="005C18EF" w:rsidRPr="005C18EF" w:rsidTr="00A5457D">
        <w:trPr>
          <w:trHeight w:val="3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3076F" w:rsidRPr="005C18EF" w:rsidRDefault="00C3076F" w:rsidP="00A5457D">
            <w:pPr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Índice de capitaliz</w:t>
            </w:r>
            <w:r w:rsidR="00C36886">
              <w:rPr>
                <w:rFonts w:ascii="Arial Narrow" w:hAnsi="Arial Narrow"/>
                <w:sz w:val="24"/>
                <w:szCs w:val="26"/>
              </w:rPr>
              <w:t>ación bursátil  (27/06/18-09:30</w:t>
            </w:r>
            <w:r w:rsidRPr="005C18EF">
              <w:rPr>
                <w:rFonts w:ascii="Arial Narrow" w:hAnsi="Arial Narrow"/>
                <w:sz w:val="24"/>
                <w:szCs w:val="26"/>
              </w:rPr>
              <w:t>pm)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6F" w:rsidRPr="005C18EF" w:rsidRDefault="000C1757" w:rsidP="00A5457D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345,946</w:t>
            </w:r>
          </w:p>
        </w:tc>
      </w:tr>
    </w:tbl>
    <w:p w:rsidR="00C3076F" w:rsidRPr="005C18EF" w:rsidRDefault="00C3076F" w:rsidP="00C3076F">
      <w:pPr>
        <w:jc w:val="both"/>
        <w:rPr>
          <w:rFonts w:ascii="Arial Narrow" w:hAnsi="Arial Narrow"/>
          <w:sz w:val="24"/>
          <w:szCs w:val="26"/>
        </w:rPr>
      </w:pPr>
    </w:p>
    <w:p w:rsidR="00C3076F" w:rsidRPr="00A806B0" w:rsidRDefault="00CC5829" w:rsidP="00C3076F">
      <w:pPr>
        <w:jc w:val="center"/>
        <w:rPr>
          <w:rFonts w:eastAsiaTheme="minorEastAsia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9.189%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187,688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187,688+161,003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161,003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187,688+161,003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C3076F" w:rsidRPr="001E4ACE" w:rsidRDefault="00C3076F" w:rsidP="00C3076F">
      <w:pPr>
        <w:jc w:val="center"/>
        <w:rPr>
          <w:rFonts w:eastAsiaTheme="minorEastAsia"/>
          <w:sz w:val="18"/>
        </w:rPr>
      </w:pPr>
    </w:p>
    <w:p w:rsidR="00C3076F" w:rsidRPr="001E4ACE" w:rsidRDefault="00CC5829" w:rsidP="00C3076F">
      <w:pPr>
        <w:jc w:val="both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en libros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=5.68%</m:t>
          </m:r>
        </m:oMath>
      </m:oMathPara>
    </w:p>
    <w:p w:rsidR="00C3076F" w:rsidRDefault="00C3076F" w:rsidP="00C3076F">
      <w:pPr>
        <w:jc w:val="both"/>
        <w:rPr>
          <w:b/>
        </w:rPr>
      </w:pPr>
    </w:p>
    <w:p w:rsidR="00C3076F" w:rsidRPr="00C3076F" w:rsidRDefault="00CC5829" w:rsidP="00C3076F">
      <w:pPr>
        <w:jc w:val="center"/>
        <w:rPr>
          <w:rFonts w:eastAsiaTheme="minorEastAsia"/>
          <w:sz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bursátil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9.18</m:t>
          </m:r>
          <m:r>
            <m:rPr>
              <m:sty m:val="p"/>
            </m:rPr>
            <w:rPr>
              <w:rFonts w:ascii="Cambria Math" w:hAnsi="Cambria Math"/>
              <w:sz w:val="20"/>
            </w:rPr>
            <m:t>9%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345,946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345,946+161,003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0"/>
            </w:rPr>
            <m:t>+2.00%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161,003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345,946+161,003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1-20%</m:t>
              </m:r>
            </m:e>
          </m:d>
        </m:oMath>
      </m:oMathPara>
    </w:p>
    <w:p w:rsidR="00C3076F" w:rsidRPr="00C3076F" w:rsidRDefault="00C3076F" w:rsidP="00C3076F">
      <w:pPr>
        <w:jc w:val="center"/>
        <w:rPr>
          <w:rFonts w:eastAsiaTheme="minorEastAsia"/>
          <w:sz w:val="20"/>
        </w:rPr>
      </w:pPr>
    </w:p>
    <w:p w:rsidR="00C3076F" w:rsidRPr="001E4ACE" w:rsidRDefault="00CC5829" w:rsidP="00C3076F">
      <w:pPr>
        <w:jc w:val="center"/>
        <w:rPr>
          <w:sz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WACC valor bursátil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2017 </m:t>
              </m:r>
            </m:sub>
          </m:sSub>
          <m:r>
            <w:rPr>
              <w:rFonts w:ascii="Cambria Math" w:hAnsi="Cambria Math"/>
              <w:sz w:val="20"/>
            </w:rPr>
            <m:t>=6.78%</m:t>
          </m:r>
        </m:oMath>
      </m:oMathPara>
    </w:p>
    <w:p w:rsidR="00C3076F" w:rsidRPr="002F185F" w:rsidRDefault="00C3076F" w:rsidP="00C3076F">
      <w:pPr>
        <w:jc w:val="both"/>
        <w:rPr>
          <w:b/>
        </w:rPr>
      </w:pPr>
      <w:r w:rsidRPr="002F185F">
        <w:rPr>
          <w:b/>
        </w:rPr>
        <w:t xml:space="preserve">Conclusiones: </w:t>
      </w:r>
    </w:p>
    <w:p w:rsidR="001250D1" w:rsidRDefault="000C1757" w:rsidP="00C41C3C">
      <w:pPr>
        <w:jc w:val="both"/>
      </w:pPr>
      <w:r>
        <w:t xml:space="preserve">Podemos concluir que las empresas que por su naturaleza son altamente tecnológicas como lo son Microsoft y Amazon su valor de mercado respecto al valor contable </w:t>
      </w:r>
      <w:proofErr w:type="gramStart"/>
      <w:r>
        <w:t>es</w:t>
      </w:r>
      <w:proofErr w:type="gramEnd"/>
      <w:r>
        <w:t xml:space="preserve"> de 3 veces hasta 30 veces respectivamente en último año 2017, y así podemos observar una diferencia significativa en el costo de capital promedio ponderado (WACC) en el último año 2017. Para el gigante petrolero Exxon </w:t>
      </w:r>
      <w:proofErr w:type="spellStart"/>
      <w:r>
        <w:t>Mobil</w:t>
      </w:r>
      <w:proofErr w:type="spellEnd"/>
      <w:r>
        <w:t xml:space="preserve">, su valor bursátil </w:t>
      </w:r>
      <w:r w:rsidR="00E741CA">
        <w:t xml:space="preserve">1.85 veces referente a su valor contable y esto refleja una diferencia poco significativa entre WACC en libros 5.68% versus el WACC bursátil </w:t>
      </w:r>
      <w:r w:rsidR="00F502B9">
        <w:t>6.78%. En el cuadro comparativo</w:t>
      </w:r>
      <w:bookmarkStart w:id="0" w:name="_GoBack"/>
      <w:bookmarkEnd w:id="0"/>
      <w:r w:rsidR="00E741CA">
        <w:t xml:space="preserve"> podemos apreciar mejor la diferencia de las valoraciones empresariales.</w:t>
      </w:r>
    </w:p>
    <w:p w:rsidR="000A3C8F" w:rsidRDefault="004D249B" w:rsidP="00C41C3C">
      <w:pPr>
        <w:jc w:val="both"/>
        <w:rPr>
          <w:b/>
        </w:rPr>
      </w:pPr>
      <w:r w:rsidRPr="005C18EF">
        <w:rPr>
          <w:b/>
        </w:rPr>
        <w:t>Cuadro comparativo</w:t>
      </w:r>
    </w:p>
    <w:p w:rsidR="005C18EF" w:rsidRPr="00C3076F" w:rsidRDefault="005C18EF" w:rsidP="00C41C3C">
      <w:pPr>
        <w:jc w:val="both"/>
        <w:rPr>
          <w:b/>
        </w:rPr>
      </w:pPr>
    </w:p>
    <w:tbl>
      <w:tblPr>
        <w:tblW w:w="742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575"/>
        <w:gridCol w:w="1575"/>
        <w:gridCol w:w="1575"/>
      </w:tblGrid>
      <w:tr w:rsidR="005C18EF" w:rsidRPr="005C18EF" w:rsidTr="008B37D5">
        <w:trPr>
          <w:trHeight w:val="39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EF" w:rsidRPr="005C18EF" w:rsidRDefault="005C18EF" w:rsidP="005C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>Microsoft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>Amazon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 xml:space="preserve">Exxon </w:t>
            </w:r>
            <w:proofErr w:type="spellStart"/>
            <w:r w:rsidRPr="005C18EF">
              <w:rPr>
                <w:rFonts w:ascii="Arial Narrow" w:hAnsi="Arial Narrow"/>
                <w:b/>
                <w:sz w:val="24"/>
                <w:szCs w:val="26"/>
              </w:rPr>
              <w:t>Mobil</w:t>
            </w:r>
            <w:proofErr w:type="spellEnd"/>
          </w:p>
        </w:tc>
      </w:tr>
      <w:tr w:rsidR="005C18EF" w:rsidRPr="005C18EF" w:rsidTr="008B37D5">
        <w:trPr>
          <w:trHeight w:val="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bottom"/>
            <w:hideMark/>
          </w:tcPr>
          <w:p w:rsidR="005C18EF" w:rsidRPr="005C18EF" w:rsidRDefault="005C18EF" w:rsidP="005C18E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>Índice capitalización bursátil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769,319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832</w:t>
            </w:r>
            <w:r>
              <w:rPr>
                <w:rFonts w:ascii="Arial Narrow" w:hAnsi="Arial Narrow"/>
                <w:sz w:val="24"/>
                <w:szCs w:val="26"/>
              </w:rPr>
              <w:t>,</w:t>
            </w:r>
            <w:r w:rsidRPr="005C18EF">
              <w:rPr>
                <w:rFonts w:ascii="Arial Narrow" w:hAnsi="Arial Narrow"/>
                <w:sz w:val="24"/>
                <w:szCs w:val="26"/>
              </w:rPr>
              <w:t>635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EF" w:rsidRPr="005C18EF" w:rsidRDefault="005C18EF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5C18EF">
              <w:rPr>
                <w:rFonts w:ascii="Arial Narrow" w:hAnsi="Arial Narrow"/>
                <w:sz w:val="24"/>
                <w:szCs w:val="26"/>
              </w:rPr>
              <w:t>345</w:t>
            </w:r>
            <w:r>
              <w:rPr>
                <w:rFonts w:ascii="Arial Narrow" w:hAnsi="Arial Narrow"/>
                <w:sz w:val="24"/>
                <w:szCs w:val="26"/>
              </w:rPr>
              <w:t>,</w:t>
            </w:r>
            <w:r w:rsidRPr="005C18EF">
              <w:rPr>
                <w:rFonts w:ascii="Arial Narrow" w:hAnsi="Arial Narrow"/>
                <w:sz w:val="24"/>
                <w:szCs w:val="26"/>
              </w:rPr>
              <w:t>946</w:t>
            </w:r>
          </w:p>
        </w:tc>
      </w:tr>
      <w:tr w:rsidR="005C18EF" w:rsidRPr="005C18EF" w:rsidTr="008B37D5">
        <w:trPr>
          <w:trHeight w:val="357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:rsidR="005C18EF" w:rsidRPr="005C18EF" w:rsidRDefault="005C18EF" w:rsidP="005C18E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>WACC valor en libros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4.93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4.61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5.68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</w:tr>
      <w:tr w:rsidR="005C18EF" w:rsidRPr="005C18EF" w:rsidTr="008B37D5">
        <w:trPr>
          <w:trHeight w:val="375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:rsidR="005C18EF" w:rsidRPr="005C18EF" w:rsidRDefault="005C18EF" w:rsidP="005C18E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6"/>
              </w:rPr>
            </w:pPr>
            <w:r w:rsidRPr="005C18EF">
              <w:rPr>
                <w:rFonts w:ascii="Arial Narrow" w:hAnsi="Arial Narrow"/>
                <w:b/>
                <w:sz w:val="24"/>
                <w:szCs w:val="26"/>
              </w:rPr>
              <w:t>WACC valor bursátil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10.69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14.30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EF" w:rsidRPr="005C18EF" w:rsidRDefault="003B50D0" w:rsidP="005C18E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6.78</w:t>
            </w:r>
            <w:r w:rsidR="005C18EF" w:rsidRPr="005C18EF">
              <w:rPr>
                <w:rFonts w:ascii="Arial Narrow" w:hAnsi="Arial Narrow"/>
                <w:sz w:val="24"/>
                <w:szCs w:val="26"/>
              </w:rPr>
              <w:t>%</w:t>
            </w:r>
          </w:p>
        </w:tc>
      </w:tr>
    </w:tbl>
    <w:p w:rsidR="004D249B" w:rsidRDefault="004D249B" w:rsidP="00C41C3C">
      <w:pPr>
        <w:jc w:val="both"/>
      </w:pPr>
    </w:p>
    <w:sectPr w:rsidR="004D249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29" w:rsidRDefault="00CC5829" w:rsidP="00BE00F5">
      <w:pPr>
        <w:spacing w:after="0" w:line="240" w:lineRule="auto"/>
      </w:pPr>
      <w:r>
        <w:separator/>
      </w:r>
    </w:p>
  </w:endnote>
  <w:endnote w:type="continuationSeparator" w:id="0">
    <w:p w:rsidR="00CC5829" w:rsidRDefault="00CC5829" w:rsidP="00BE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518340"/>
      <w:docPartObj>
        <w:docPartGallery w:val="Page Numbers (Bottom of Page)"/>
        <w:docPartUnique/>
      </w:docPartObj>
    </w:sdtPr>
    <w:sdtContent>
      <w:p w:rsidR="00F502B9" w:rsidRDefault="00F502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02B9">
          <w:rPr>
            <w:noProof/>
            <w:lang w:val="es-ES"/>
          </w:rPr>
          <w:t>5</w:t>
        </w:r>
        <w:r>
          <w:fldChar w:fldCharType="end"/>
        </w:r>
      </w:p>
    </w:sdtContent>
  </w:sdt>
  <w:p w:rsidR="00F502B9" w:rsidRDefault="00F502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29" w:rsidRDefault="00CC5829" w:rsidP="00BE00F5">
      <w:pPr>
        <w:spacing w:after="0" w:line="240" w:lineRule="auto"/>
      </w:pPr>
      <w:r>
        <w:separator/>
      </w:r>
    </w:p>
  </w:footnote>
  <w:footnote w:type="continuationSeparator" w:id="0">
    <w:p w:rsidR="00CC5829" w:rsidRDefault="00CC5829" w:rsidP="00BE00F5">
      <w:pPr>
        <w:spacing w:after="0" w:line="240" w:lineRule="auto"/>
      </w:pPr>
      <w:r>
        <w:continuationSeparator/>
      </w:r>
    </w:p>
  </w:footnote>
  <w:footnote w:id="1">
    <w:p w:rsidR="00BE00F5" w:rsidRPr="00BE00F5" w:rsidRDefault="00BE00F5" w:rsidP="00BE00F5">
      <w:pPr>
        <w:pStyle w:val="Textonotapie"/>
        <w:jc w:val="both"/>
        <w:rPr>
          <w:bCs/>
          <w:i/>
          <w:sz w:val="18"/>
          <w:lang w:val="es-MX"/>
        </w:rPr>
      </w:pPr>
      <w:r w:rsidRPr="00192124">
        <w:rPr>
          <w:rStyle w:val="Refdenotaalpie"/>
          <w:sz w:val="18"/>
        </w:rPr>
        <w:footnoteRef/>
      </w:r>
      <w:r w:rsidRPr="00192124">
        <w:rPr>
          <w:sz w:val="18"/>
          <w:lang w:val="es-PE"/>
        </w:rPr>
        <w:t xml:space="preserve"> </w:t>
      </w:r>
      <w:r w:rsidRPr="00BE00F5">
        <w:rPr>
          <w:bCs/>
          <w:i/>
          <w:sz w:val="18"/>
          <w:lang w:val="es-MX"/>
        </w:rPr>
        <w:t>La capitalización bursátil es una medida económica que indica</w:t>
      </w:r>
      <w:r w:rsidRPr="00996A3F">
        <w:rPr>
          <w:rStyle w:val="Textoennegrita"/>
          <w:i/>
          <w:color w:val="333333"/>
          <w:sz w:val="25"/>
          <w:szCs w:val="25"/>
          <w:shd w:val="clear" w:color="auto" w:fill="FEFEFE"/>
          <w:lang w:val="es-PE"/>
        </w:rPr>
        <w:t xml:space="preserve"> </w:t>
      </w:r>
      <w:r w:rsidRPr="00BE00F5">
        <w:rPr>
          <w:i/>
          <w:sz w:val="18"/>
          <w:lang w:val="es-MX"/>
        </w:rPr>
        <w:t>el valor total de una empresa según el precio de mercado. Es el valor total de todas las </w:t>
      </w:r>
      <w:hyperlink r:id="rId1" w:history="1">
        <w:r w:rsidRPr="00BE00F5">
          <w:rPr>
            <w:i/>
            <w:sz w:val="18"/>
            <w:lang w:val="es-MX"/>
          </w:rPr>
          <w:t>acciones</w:t>
        </w:r>
      </w:hyperlink>
      <w:r w:rsidRPr="00BE00F5">
        <w:rPr>
          <w:i/>
          <w:sz w:val="18"/>
          <w:lang w:val="es-MX"/>
        </w:rPr>
        <w:t> de una empresa que cotiza en bolsa.</w:t>
      </w:r>
      <w:r w:rsidRPr="00996A3F">
        <w:rPr>
          <w:color w:val="333333"/>
          <w:sz w:val="25"/>
          <w:szCs w:val="25"/>
          <w:shd w:val="clear" w:color="auto" w:fill="FEFEFE"/>
          <w:lang w:val="es-PE"/>
        </w:rPr>
        <w:t xml:space="preserve"> </w:t>
      </w:r>
      <w:r w:rsidRPr="00BE00F5">
        <w:rPr>
          <w:bCs/>
          <w:i/>
          <w:sz w:val="18"/>
          <w:lang w:val="es-MX"/>
        </w:rPr>
        <w:t>La capitalización bursátil expresa el </w:t>
      </w:r>
      <w:hyperlink r:id="rId2" w:history="1">
        <w:r w:rsidRPr="00BE00F5">
          <w:rPr>
            <w:bCs/>
            <w:i/>
            <w:sz w:val="18"/>
            <w:lang w:val="es-MX"/>
          </w:rPr>
          <w:t>valor patrimonial</w:t>
        </w:r>
      </w:hyperlink>
      <w:r w:rsidRPr="00BE00F5">
        <w:rPr>
          <w:bCs/>
          <w:i/>
          <w:sz w:val="18"/>
          <w:lang w:val="es-MX"/>
        </w:rPr>
        <w:t> de la empresa</w:t>
      </w:r>
      <w:r>
        <w:rPr>
          <w:bCs/>
          <w:i/>
          <w:sz w:val="18"/>
          <w:lang w:val="es-MX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BA1"/>
    <w:multiLevelType w:val="hybridMultilevel"/>
    <w:tmpl w:val="364A19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E20"/>
    <w:multiLevelType w:val="hybridMultilevel"/>
    <w:tmpl w:val="B082FE6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8F"/>
    <w:rsid w:val="00040ACF"/>
    <w:rsid w:val="00067B69"/>
    <w:rsid w:val="000A3C8F"/>
    <w:rsid w:val="000C1757"/>
    <w:rsid w:val="001250D1"/>
    <w:rsid w:val="0015059A"/>
    <w:rsid w:val="001E4ACE"/>
    <w:rsid w:val="002F185F"/>
    <w:rsid w:val="003558C0"/>
    <w:rsid w:val="00357914"/>
    <w:rsid w:val="00393A67"/>
    <w:rsid w:val="003B50D0"/>
    <w:rsid w:val="003F604C"/>
    <w:rsid w:val="00400225"/>
    <w:rsid w:val="00487706"/>
    <w:rsid w:val="0049487E"/>
    <w:rsid w:val="004C1FE0"/>
    <w:rsid w:val="004D249B"/>
    <w:rsid w:val="00565435"/>
    <w:rsid w:val="005C18EF"/>
    <w:rsid w:val="005C1FD0"/>
    <w:rsid w:val="00621C6D"/>
    <w:rsid w:val="006845A1"/>
    <w:rsid w:val="007B1FD3"/>
    <w:rsid w:val="0086333E"/>
    <w:rsid w:val="008B37D5"/>
    <w:rsid w:val="00924D4E"/>
    <w:rsid w:val="00996A3F"/>
    <w:rsid w:val="00A07046"/>
    <w:rsid w:val="00A13024"/>
    <w:rsid w:val="00A806B0"/>
    <w:rsid w:val="00BE00F5"/>
    <w:rsid w:val="00C3076F"/>
    <w:rsid w:val="00C36886"/>
    <w:rsid w:val="00C41C3C"/>
    <w:rsid w:val="00C53EA4"/>
    <w:rsid w:val="00C75E26"/>
    <w:rsid w:val="00CC5829"/>
    <w:rsid w:val="00D84753"/>
    <w:rsid w:val="00E10774"/>
    <w:rsid w:val="00E71EA3"/>
    <w:rsid w:val="00E741CA"/>
    <w:rsid w:val="00EE756D"/>
    <w:rsid w:val="00EE7679"/>
    <w:rsid w:val="00F502B9"/>
    <w:rsid w:val="00F85403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7DEF-71A9-4531-B0AA-B5AEB51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C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302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0F5"/>
    <w:pPr>
      <w:spacing w:after="0" w:line="240" w:lineRule="auto"/>
    </w:pPr>
    <w:rPr>
      <w:rFonts w:ascii="Arial" w:eastAsia="Arial" w:hAnsi="Arial" w:cs="Arial"/>
      <w:sz w:val="20"/>
      <w:szCs w:val="20"/>
      <w:lang w:val="en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0F5"/>
    <w:rPr>
      <w:rFonts w:ascii="Arial" w:eastAsia="Arial" w:hAnsi="Arial" w:cs="Arial"/>
      <w:sz w:val="20"/>
      <w:szCs w:val="20"/>
      <w:lang w:val="en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E00F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BE00F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E00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50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2B9"/>
  </w:style>
  <w:style w:type="paragraph" w:styleId="Piedepgina">
    <w:name w:val="footer"/>
    <w:basedOn w:val="Normal"/>
    <w:link w:val="PiedepginaCar"/>
    <w:uiPriority w:val="99"/>
    <w:unhideWhenUsed/>
    <w:rsid w:val="00F50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yahoo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ance.yahoo.com/" TargetMode="External"/><Relationship Id="rId12" Type="http://schemas.openxmlformats.org/officeDocument/2006/relationships/hyperlink" Target="https://finance.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yaho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nance.yah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.yahoo.co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onomipedia.com/definiciones/patrimonio-neto.html" TargetMode="External"/><Relationship Id="rId1" Type="http://schemas.openxmlformats.org/officeDocument/2006/relationships/hyperlink" Target="http://economipedia.com/definiciones/ac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Franco Zavaleta Peña</dc:creator>
  <cp:keywords/>
  <dc:description/>
  <cp:lastModifiedBy>Jorge Franco Zavaleta Peña</cp:lastModifiedBy>
  <cp:revision>3</cp:revision>
  <cp:lastPrinted>2018-07-26T15:26:00Z</cp:lastPrinted>
  <dcterms:created xsi:type="dcterms:W3CDTF">2018-07-10T15:38:00Z</dcterms:created>
  <dcterms:modified xsi:type="dcterms:W3CDTF">2018-07-26T15:26:00Z</dcterms:modified>
</cp:coreProperties>
</file>