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8E56" w14:textId="77777777" w:rsidR="00C77CE7" w:rsidRDefault="00C77CE7" w:rsidP="00DB7078">
      <w:pPr>
        <w:jc w:val="both"/>
        <w:rPr>
          <w:b/>
          <w:sz w:val="28"/>
          <w:szCs w:val="28"/>
        </w:rPr>
      </w:pPr>
    </w:p>
    <w:p w14:paraId="77F701AE" w14:textId="5260D656" w:rsidR="00C001FE" w:rsidRDefault="00C001FE" w:rsidP="00DB7078">
      <w:pPr>
        <w:jc w:val="both"/>
        <w:rPr>
          <w:b/>
          <w:sz w:val="28"/>
          <w:szCs w:val="28"/>
        </w:rPr>
      </w:pPr>
      <w:r w:rsidRPr="00C001FE">
        <w:rPr>
          <w:b/>
          <w:sz w:val="28"/>
          <w:szCs w:val="28"/>
        </w:rPr>
        <w:t xml:space="preserve">VICERECTORÍA DE </w:t>
      </w:r>
      <w:r w:rsidR="002C50D7">
        <w:rPr>
          <w:b/>
          <w:sz w:val="28"/>
          <w:szCs w:val="28"/>
        </w:rPr>
        <w:t xml:space="preserve">VINCULACIÓN CON EL MEDIO E </w:t>
      </w:r>
      <w:r w:rsidRPr="00C001FE">
        <w:rPr>
          <w:b/>
          <w:sz w:val="28"/>
          <w:szCs w:val="28"/>
        </w:rPr>
        <w:t>INVESTIGACIÓN</w:t>
      </w:r>
    </w:p>
    <w:p w14:paraId="1BF48AAD" w14:textId="2ECC39FB" w:rsidR="00DB7078" w:rsidRDefault="00DB7078" w:rsidP="00DB7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Investigación </w:t>
      </w:r>
      <w:r w:rsidR="002C50D7">
        <w:rPr>
          <w:b/>
          <w:sz w:val="28"/>
          <w:szCs w:val="28"/>
        </w:rPr>
        <w:t>y Doctorados</w:t>
      </w:r>
    </w:p>
    <w:p w14:paraId="6BD90E93" w14:textId="35026186" w:rsidR="00CD1C3D" w:rsidRPr="00C001FE" w:rsidRDefault="00CD1C3D" w:rsidP="00DB7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Transferencia, Emprendimiento e Innovación</w:t>
      </w:r>
    </w:p>
    <w:p w14:paraId="5A0857C3" w14:textId="77777777" w:rsidR="00C001FE" w:rsidRDefault="00C001FE" w:rsidP="00DB7078">
      <w:pPr>
        <w:jc w:val="both"/>
        <w:rPr>
          <w:sz w:val="28"/>
          <w:szCs w:val="28"/>
        </w:rPr>
      </w:pPr>
    </w:p>
    <w:p w14:paraId="42513B07" w14:textId="4C8BE755" w:rsidR="00DB7078" w:rsidRDefault="00DB7078" w:rsidP="00DB7078">
      <w:pPr>
        <w:jc w:val="both"/>
        <w:rPr>
          <w:b/>
        </w:rPr>
      </w:pPr>
      <w:r>
        <w:rPr>
          <w:b/>
        </w:rPr>
        <w:t xml:space="preserve">                 </w:t>
      </w:r>
      <w:r w:rsidR="002C50D7">
        <w:rPr>
          <w:b/>
        </w:rPr>
        <w:t>4</w:t>
      </w:r>
      <w:r>
        <w:rPr>
          <w:b/>
        </w:rPr>
        <w:t xml:space="preserve">° CONCURSO DE </w:t>
      </w:r>
      <w:r w:rsidRPr="00C001FE">
        <w:rPr>
          <w:b/>
        </w:rPr>
        <w:t>PROYECTOS INTERNOS DE INVESTIGACIÓN</w:t>
      </w:r>
      <w:r w:rsidR="002C50D7">
        <w:rPr>
          <w:b/>
        </w:rPr>
        <w:t>,</w:t>
      </w:r>
      <w:r w:rsidRPr="00C001FE">
        <w:rPr>
          <w:b/>
        </w:rPr>
        <w:t xml:space="preserve"> 20</w:t>
      </w:r>
      <w:r w:rsidR="002C50D7">
        <w:rPr>
          <w:b/>
        </w:rPr>
        <w:t>20</w:t>
      </w:r>
    </w:p>
    <w:p w14:paraId="082261C0" w14:textId="77777777" w:rsidR="00DB7078" w:rsidRDefault="00DB7078" w:rsidP="00DB7078">
      <w:pPr>
        <w:jc w:val="both"/>
        <w:rPr>
          <w:b/>
        </w:rPr>
      </w:pPr>
    </w:p>
    <w:p w14:paraId="0534629B" w14:textId="45B778A6" w:rsidR="00DB7078" w:rsidRPr="00DB7078" w:rsidRDefault="00DB7078" w:rsidP="00DB7078">
      <w:pPr>
        <w:jc w:val="both"/>
        <w:rPr>
          <w:b/>
        </w:rPr>
      </w:pPr>
      <w:r w:rsidRPr="00DB7078">
        <w:rPr>
          <w:b/>
        </w:rPr>
        <w:t>Fundamentos:</w:t>
      </w:r>
    </w:p>
    <w:p w14:paraId="5EE3880B" w14:textId="7CC33936" w:rsidR="00DB7078" w:rsidRDefault="00DB7078" w:rsidP="00DB7078">
      <w:pPr>
        <w:jc w:val="both"/>
      </w:pPr>
      <w:r w:rsidRPr="00DB7078">
        <w:t xml:space="preserve">El desarrollo de </w:t>
      </w:r>
      <w:r>
        <w:t>la investigación en la U</w:t>
      </w:r>
      <w:r w:rsidRPr="00DB7078">
        <w:t>niversidad Bernardo O´Higgins</w:t>
      </w:r>
      <w:r>
        <w:t xml:space="preserve"> ha evidenciado una rápida evolución, a partir de la decisión institucional adoptada el año 2011 de potenciar dicha área. </w:t>
      </w:r>
    </w:p>
    <w:p w14:paraId="0A97CDEA" w14:textId="6E812F21" w:rsidR="00DB7078" w:rsidRDefault="00DB7078" w:rsidP="00DB7078">
      <w:pPr>
        <w:jc w:val="both"/>
      </w:pPr>
      <w:r>
        <w:t xml:space="preserve">De esta manera se ha ido conformando una masa crítica de académicos investigadores, nucleados en torno a los Centros de Investigación dependientes de la Dirección de Investigación, los Departamentos alojados en las Facultades y a nivel de las diferentes Escuelas. </w:t>
      </w:r>
    </w:p>
    <w:p w14:paraId="6CF9EABD" w14:textId="1E46AA00" w:rsidR="00DB7078" w:rsidRDefault="00DB7078" w:rsidP="00DB7078">
      <w:pPr>
        <w:jc w:val="both"/>
      </w:pPr>
      <w:r>
        <w:t xml:space="preserve">Junto a lo anterior, académicos jóvenes comienzan a manifestar su inquietud por avanzar en el campo de las investigaciones. </w:t>
      </w:r>
    </w:p>
    <w:p w14:paraId="347C43ED" w14:textId="074E8510" w:rsidR="00DB7078" w:rsidRDefault="00DB7078" w:rsidP="00DB7078">
      <w:pPr>
        <w:jc w:val="both"/>
      </w:pPr>
      <w:r>
        <w:t>Asimismo, es decisión instit</w:t>
      </w:r>
      <w:r w:rsidR="000C636E">
        <w:t>ucional</w:t>
      </w:r>
      <w:r>
        <w:t xml:space="preserve"> el avanzar cada vez más en una estrecha vinculación entre la investigación y la docencia de pre y postgrado, de modo de comprometer a los estudiantes en el desarrollo de labores de investigación, para de ese modo ir forjando nuevas vocaciones en esta materia y contribuir a una mejor y más completa formación en general de los estudiantes.</w:t>
      </w:r>
    </w:p>
    <w:p w14:paraId="6A537AD8" w14:textId="0A626B34" w:rsidR="000C636E" w:rsidRDefault="000C636E" w:rsidP="00DB7078">
      <w:pPr>
        <w:jc w:val="both"/>
      </w:pPr>
      <w:r>
        <w:t>Por otra parte, el contexto externo del sistema de investigación a nivel nacional privilegia ciertos estándares para calificar y medir la productividad científica de las Universidades, cuestión que debe ser considerada por cada Universidad en particular.</w:t>
      </w:r>
    </w:p>
    <w:p w14:paraId="7743D283" w14:textId="2BCBB4CB" w:rsidR="000C636E" w:rsidRDefault="000C636E" w:rsidP="00DB7078">
      <w:pPr>
        <w:jc w:val="both"/>
      </w:pPr>
      <w:r>
        <w:t>Finalmente, la Universidad analiza la experiencia de otras instituciones similares, más desarrolladas en el área de la investigación y aprende de sus buenas prácticas, que incluyen destinar fondos internos para el desarrollo de la investigación.</w:t>
      </w:r>
    </w:p>
    <w:p w14:paraId="40E3A4B7" w14:textId="18CC74F7" w:rsidR="000C636E" w:rsidRPr="00DB7078" w:rsidRDefault="000C636E" w:rsidP="00DB7078">
      <w:pPr>
        <w:jc w:val="both"/>
      </w:pPr>
      <w:r>
        <w:t xml:space="preserve">Sobre la base de todos esos antecedentes, la Universidad, por medio de la Vicerrectoría de </w:t>
      </w:r>
      <w:r w:rsidR="002C50D7">
        <w:t xml:space="preserve">Vinculación con el Medio e </w:t>
      </w:r>
      <w:r>
        <w:t xml:space="preserve">Investigación, </w:t>
      </w:r>
      <w:r w:rsidR="002C50D7">
        <w:t xml:space="preserve">convoca a una nueva versión de su </w:t>
      </w:r>
      <w:r>
        <w:t xml:space="preserve">Concurso de Investigación interno, </w:t>
      </w:r>
      <w:r w:rsidR="002C50D7">
        <w:t>la cuarta</w:t>
      </w:r>
      <w:r>
        <w:t>, destinado a sus académicos de planta, sobre la base de los factores que pasan a detallarse.</w:t>
      </w:r>
    </w:p>
    <w:p w14:paraId="7A10BBCF" w14:textId="77777777" w:rsidR="00EC57A9" w:rsidRDefault="00EC57A9" w:rsidP="00DB7078">
      <w:pPr>
        <w:jc w:val="both"/>
      </w:pPr>
    </w:p>
    <w:p w14:paraId="5F3ADF80" w14:textId="6236D896" w:rsidR="000C636E" w:rsidRPr="000C636E" w:rsidRDefault="000C636E" w:rsidP="00DB7078">
      <w:pPr>
        <w:jc w:val="both"/>
        <w:rPr>
          <w:b/>
        </w:rPr>
      </w:pPr>
      <w:r w:rsidRPr="000C636E">
        <w:rPr>
          <w:b/>
        </w:rPr>
        <w:t>O</w:t>
      </w:r>
      <w:r w:rsidR="00CD1C3D">
        <w:rPr>
          <w:b/>
        </w:rPr>
        <w:t>bjetivos</w:t>
      </w:r>
      <w:r w:rsidRPr="000C636E">
        <w:rPr>
          <w:b/>
        </w:rPr>
        <w:t>:</w:t>
      </w:r>
    </w:p>
    <w:p w14:paraId="79A37520" w14:textId="77448C43" w:rsidR="000C636E" w:rsidRPr="00654DAD" w:rsidRDefault="000C636E" w:rsidP="00DB7078">
      <w:pPr>
        <w:jc w:val="both"/>
      </w:pPr>
      <w:r w:rsidRPr="00654DAD">
        <w:t>1.- El Concurso está destinado a fortalecer la capacidad investigativa de los académicos de planta de la Universidad.</w:t>
      </w:r>
    </w:p>
    <w:p w14:paraId="32EE33C3" w14:textId="615A5E78" w:rsidR="000C636E" w:rsidRPr="00654DAD" w:rsidRDefault="000C636E" w:rsidP="00DB7078">
      <w:pPr>
        <w:jc w:val="both"/>
      </w:pPr>
      <w:r w:rsidRPr="00654DAD">
        <w:t>2.-</w:t>
      </w:r>
      <w:r w:rsidR="00654DAD" w:rsidRPr="00654DAD">
        <w:t xml:space="preserve"> </w:t>
      </w:r>
      <w:r w:rsidRPr="00654DAD">
        <w:t>El Concurso busca generar productividad científica de la Universidad</w:t>
      </w:r>
      <w:r w:rsidR="00654DAD" w:rsidRPr="00654DAD">
        <w:t>.</w:t>
      </w:r>
    </w:p>
    <w:p w14:paraId="13BCA224" w14:textId="40059A2A" w:rsidR="000C636E" w:rsidRPr="00654DAD" w:rsidRDefault="000C636E" w:rsidP="00DB7078">
      <w:pPr>
        <w:jc w:val="both"/>
      </w:pPr>
      <w:r w:rsidRPr="00654DAD">
        <w:t xml:space="preserve">3.- El Concurso estará orientado preferentemente a </w:t>
      </w:r>
      <w:r w:rsidR="00654DAD" w:rsidRPr="00654DAD">
        <w:t xml:space="preserve">potenciar futuras postulaciones a fondos concursables externos, </w:t>
      </w:r>
      <w:r w:rsidR="00CD1C3D">
        <w:t xml:space="preserve">y </w:t>
      </w:r>
      <w:r w:rsidR="002C50D7">
        <w:t>de manera especial pero no excluyente, a aquellos que constituyen investigación aplicada</w:t>
      </w:r>
      <w:r w:rsidR="00CD1C3D">
        <w:t xml:space="preserve"> y en vinculación con la industria.</w:t>
      </w:r>
    </w:p>
    <w:p w14:paraId="7C67F423" w14:textId="4C75CFF6" w:rsidR="00654DAD" w:rsidRPr="00654DAD" w:rsidRDefault="00654DAD" w:rsidP="00DB7078">
      <w:pPr>
        <w:jc w:val="both"/>
      </w:pPr>
      <w:r w:rsidRPr="00654DAD">
        <w:t>4.- El Concurso pretende fomentar el vínculo entre investigadores y estudiantes de pre y postgrado.</w:t>
      </w:r>
    </w:p>
    <w:p w14:paraId="77961DD2" w14:textId="0C97DC31" w:rsidR="001E303B" w:rsidRDefault="00654DAD" w:rsidP="00654DAD">
      <w:pPr>
        <w:jc w:val="both"/>
      </w:pPr>
      <w:r w:rsidRPr="00654DAD">
        <w:t xml:space="preserve">5.- El Concurso privilegiará el desarrollo de nuevos o jóvenes investigadores. </w:t>
      </w:r>
    </w:p>
    <w:p w14:paraId="0ACE0ACA" w14:textId="77777777" w:rsidR="002C50D7" w:rsidRDefault="002C50D7" w:rsidP="00654DAD">
      <w:pPr>
        <w:jc w:val="both"/>
        <w:rPr>
          <w:b/>
        </w:rPr>
      </w:pPr>
    </w:p>
    <w:p w14:paraId="38E70583" w14:textId="07776799" w:rsidR="00654DAD" w:rsidRPr="004419D9" w:rsidRDefault="00654DAD" w:rsidP="00654DAD">
      <w:pPr>
        <w:jc w:val="both"/>
        <w:rPr>
          <w:b/>
        </w:rPr>
      </w:pPr>
      <w:r w:rsidRPr="004419D9">
        <w:rPr>
          <w:b/>
        </w:rPr>
        <w:t>Requisitos de postulación:</w:t>
      </w:r>
    </w:p>
    <w:p w14:paraId="5FCDD17C" w14:textId="68C60106" w:rsidR="00654DAD" w:rsidRPr="004419D9" w:rsidRDefault="00654DAD" w:rsidP="00654DAD">
      <w:pPr>
        <w:jc w:val="both"/>
      </w:pPr>
      <w:r w:rsidRPr="004419D9">
        <w:t xml:space="preserve">1.- </w:t>
      </w:r>
      <w:r w:rsidR="00E624B1" w:rsidRPr="004419D9">
        <w:t>Solo podrán postular</w:t>
      </w:r>
      <w:r w:rsidR="002C50D7">
        <w:t>,</w:t>
      </w:r>
      <w:r w:rsidR="00E624B1" w:rsidRPr="004419D9">
        <w:t xml:space="preserve"> </w:t>
      </w:r>
      <w:r w:rsidR="002C50D7">
        <w:t xml:space="preserve">como investigador principal, </w:t>
      </w:r>
      <w:r w:rsidR="00E624B1" w:rsidRPr="004419D9">
        <w:t>académicos que estén contratados a lo me</w:t>
      </w:r>
      <w:r w:rsidRPr="004419D9">
        <w:t>nos por media jornada en la Universidad al momento de postular.</w:t>
      </w:r>
    </w:p>
    <w:p w14:paraId="7A241956" w14:textId="40C59B34" w:rsidR="00E624B1" w:rsidRPr="004419D9" w:rsidRDefault="00654DAD" w:rsidP="00654DAD">
      <w:pPr>
        <w:jc w:val="both"/>
      </w:pPr>
      <w:r w:rsidRPr="004419D9">
        <w:t xml:space="preserve">2.- </w:t>
      </w:r>
      <w:r w:rsidR="00E624B1" w:rsidRPr="004419D9">
        <w:t xml:space="preserve">Todo proyecto debe ser presentado por un investigador responsable y podrá incluir un coinvestigador. Como coinvestigador </w:t>
      </w:r>
      <w:r w:rsidR="002F2EAA" w:rsidRPr="004419D9">
        <w:t>podrán</w:t>
      </w:r>
      <w:r w:rsidR="00545429" w:rsidRPr="004419D9">
        <w:t xml:space="preserve"> participar profesores </w:t>
      </w:r>
      <w:r w:rsidR="005D021D">
        <w:t xml:space="preserve">de planta, </w:t>
      </w:r>
      <w:r w:rsidR="00545429" w:rsidRPr="004419D9">
        <w:t xml:space="preserve">adjuntos </w:t>
      </w:r>
      <w:r w:rsidR="003D68DC" w:rsidRPr="004419D9">
        <w:t xml:space="preserve">o investigadores asociados </w:t>
      </w:r>
      <w:r w:rsidR="002F2EAA" w:rsidRPr="004419D9">
        <w:t xml:space="preserve">de la Universidad. La calidad de profesor adjunto será certificada por la Dirección </w:t>
      </w:r>
      <w:r w:rsidR="002C50D7">
        <w:t>General de Operación</w:t>
      </w:r>
      <w:r w:rsidR="002F2EAA" w:rsidRPr="004419D9">
        <w:t xml:space="preserve"> Académica. La calidad de investigador asociado será certificada por el Director de Investigación</w:t>
      </w:r>
      <w:r w:rsidR="002C50D7">
        <w:t xml:space="preserve"> y Doctorados.</w:t>
      </w:r>
    </w:p>
    <w:p w14:paraId="7B3E2A9C" w14:textId="22ADCADE" w:rsidR="00545429" w:rsidRPr="004419D9" w:rsidRDefault="002F2EAA" w:rsidP="002F2EAA">
      <w:pPr>
        <w:jc w:val="both"/>
      </w:pPr>
      <w:r w:rsidRPr="004419D9">
        <w:t xml:space="preserve">3.- </w:t>
      </w:r>
      <w:r w:rsidR="002C50D7">
        <w:t>Un investigador que al momento de postular está ejecutando un proyecto financiado con fondos de la ANID solo podrá postular con un proyecto de investigación aplicada</w:t>
      </w:r>
      <w:r w:rsidRPr="004419D9">
        <w:t xml:space="preserve">. </w:t>
      </w:r>
    </w:p>
    <w:p w14:paraId="2DCEC636" w14:textId="6DDF81B5" w:rsidR="002F2EAA" w:rsidRPr="004419D9" w:rsidRDefault="002F2EAA" w:rsidP="002F2EAA">
      <w:pPr>
        <w:jc w:val="both"/>
      </w:pPr>
      <w:r w:rsidRPr="004419D9">
        <w:t xml:space="preserve">4.- Cada proyecto deberá individualizar </w:t>
      </w:r>
      <w:r w:rsidR="002C50D7">
        <w:t xml:space="preserve">a </w:t>
      </w:r>
      <w:r w:rsidR="00A57DAD" w:rsidRPr="004419D9">
        <w:t>él</w:t>
      </w:r>
      <w:r w:rsidRPr="004419D9">
        <w:t xml:space="preserve"> o los estudiantes de la Universidad, de p</w:t>
      </w:r>
      <w:r w:rsidR="0043120B">
        <w:t>re o post grado, que participará</w:t>
      </w:r>
      <w:r w:rsidRPr="004419D9">
        <w:t>n del mismo, en calidad de ayudantes.</w:t>
      </w:r>
    </w:p>
    <w:p w14:paraId="0B1FD82B" w14:textId="48988FE5" w:rsidR="00E821A0" w:rsidRDefault="00E821A0" w:rsidP="002F2EAA">
      <w:pPr>
        <w:jc w:val="both"/>
      </w:pPr>
      <w:r w:rsidRPr="004419D9">
        <w:t xml:space="preserve">5.- </w:t>
      </w:r>
      <w:r w:rsidR="002C50D7">
        <w:t xml:space="preserve">Se podrá postular con un mismo proyecto ya en ejecución, para un desarrollo de segunda etapa, pero </w:t>
      </w:r>
      <w:r w:rsidR="00927C81">
        <w:t xml:space="preserve">se </w:t>
      </w:r>
      <w:r w:rsidR="002C50D7">
        <w:t xml:space="preserve">deberá contar con una evaluación favorable de </w:t>
      </w:r>
      <w:r w:rsidR="00927C81">
        <w:t>la</w:t>
      </w:r>
      <w:r w:rsidR="002C50D7">
        <w:t xml:space="preserve"> primera etapa, emitida por la Dirección de Investigación y Doctorados</w:t>
      </w:r>
      <w:r w:rsidR="005D021D">
        <w:t xml:space="preserve"> o, en su caso, por la Dirección de Transferencia, Emprendimiento e Innovación,</w:t>
      </w:r>
      <w:r w:rsidR="002C50D7">
        <w:t xml:space="preserve"> y concursar en igualdad de condiciones con los proyectos nuevos que se</w:t>
      </w:r>
      <w:r w:rsidR="00927C81">
        <w:t xml:space="preserve"> </w:t>
      </w:r>
      <w:r w:rsidR="002C50D7">
        <w:t>pres</w:t>
      </w:r>
      <w:r w:rsidR="00927C81">
        <w:t>en</w:t>
      </w:r>
      <w:r w:rsidR="002C50D7">
        <w:t>ten</w:t>
      </w:r>
      <w:r w:rsidRPr="004419D9">
        <w:t>.</w:t>
      </w:r>
    </w:p>
    <w:p w14:paraId="00687CE4" w14:textId="268A6838" w:rsidR="00927C81" w:rsidRDefault="00927C81" w:rsidP="002F2EAA">
      <w:pPr>
        <w:jc w:val="both"/>
      </w:pPr>
      <w:r>
        <w:t>6.- Los interesados en postular deberán asistir de manera obligatoria a una breve capacitación el día</w:t>
      </w:r>
      <w:r w:rsidR="00CD1C3D">
        <w:t xml:space="preserve"> 22</w:t>
      </w:r>
      <w:r>
        <w:t xml:space="preserve"> de </w:t>
      </w:r>
      <w:r w:rsidR="00CD1C3D">
        <w:t>enero</w:t>
      </w:r>
      <w:r>
        <w:t xml:space="preserve"> a </w:t>
      </w:r>
      <w:r w:rsidR="00CD1C3D">
        <w:t>9.00</w:t>
      </w:r>
      <w:r>
        <w:t xml:space="preserve"> </w:t>
      </w:r>
      <w:proofErr w:type="spellStart"/>
      <w:r>
        <w:t>hrs</w:t>
      </w:r>
      <w:proofErr w:type="spellEnd"/>
      <w:r>
        <w:t xml:space="preserve">, la que será impartida por </w:t>
      </w:r>
      <w:r w:rsidR="005D021D">
        <w:t>la</w:t>
      </w:r>
      <w:r>
        <w:t xml:space="preserve"> </w:t>
      </w:r>
      <w:proofErr w:type="gramStart"/>
      <w:r w:rsidR="005D021D">
        <w:t>P</w:t>
      </w:r>
      <w:r>
        <w:t>residenta</w:t>
      </w:r>
      <w:proofErr w:type="gramEnd"/>
      <w:r>
        <w:t xml:space="preserve"> del Comité </w:t>
      </w:r>
      <w:r w:rsidR="005D021D">
        <w:t>É</w:t>
      </w:r>
      <w:r>
        <w:t xml:space="preserve">tico </w:t>
      </w:r>
      <w:r w:rsidR="005D021D">
        <w:t>C</w:t>
      </w:r>
      <w:r>
        <w:t>ientífico, en atención a que los proyectos seleccionados deberán ser sometidos a evaluación y aprobación de dicho Comité, en caso que ello sea pertinente</w:t>
      </w:r>
      <w:r w:rsidR="005D021D">
        <w:t>, como condición para su ejecución.</w:t>
      </w:r>
      <w:r w:rsidR="000C7748">
        <w:t xml:space="preserve"> Para tales efectos deberán acompañar un certificado de asistencia a esa capacitación.</w:t>
      </w:r>
    </w:p>
    <w:p w14:paraId="26CD06A2" w14:textId="7B6A06E6" w:rsidR="000C7748" w:rsidRPr="004419D9" w:rsidRDefault="000C7748" w:rsidP="002F2EAA">
      <w:pPr>
        <w:jc w:val="both"/>
      </w:pPr>
      <w:r>
        <w:t xml:space="preserve">7.- Las postulaciones deberán venir acompañadas de una aprobación para participar por escrito del Decano, </w:t>
      </w:r>
      <w:proofErr w:type="gramStart"/>
      <w:r>
        <w:t>Director</w:t>
      </w:r>
      <w:proofErr w:type="gramEnd"/>
      <w:r>
        <w:t xml:space="preserve"> de Centro o jefatura directa del investigador principal.</w:t>
      </w:r>
    </w:p>
    <w:p w14:paraId="77961D3A" w14:textId="77777777" w:rsidR="002F2EAA" w:rsidRPr="004419D9" w:rsidRDefault="002F2EAA" w:rsidP="002F2EAA">
      <w:pPr>
        <w:jc w:val="both"/>
      </w:pPr>
    </w:p>
    <w:p w14:paraId="54EC2F55" w14:textId="2C9FE1B6" w:rsidR="002F2EAA" w:rsidRPr="004419D9" w:rsidRDefault="002F2EAA" w:rsidP="002F2EAA">
      <w:pPr>
        <w:jc w:val="both"/>
        <w:rPr>
          <w:b/>
        </w:rPr>
      </w:pPr>
      <w:r w:rsidRPr="004419D9">
        <w:rPr>
          <w:b/>
        </w:rPr>
        <w:t>Recursos</w:t>
      </w:r>
      <w:r w:rsidR="00E821A0" w:rsidRPr="004419D9">
        <w:rPr>
          <w:b/>
        </w:rPr>
        <w:t xml:space="preserve"> y Condiciones</w:t>
      </w:r>
      <w:r w:rsidRPr="004419D9">
        <w:rPr>
          <w:b/>
        </w:rPr>
        <w:t>:</w:t>
      </w:r>
    </w:p>
    <w:p w14:paraId="4A0060A3" w14:textId="45D99FF2" w:rsidR="00625805" w:rsidRDefault="0034716C" w:rsidP="00927C81">
      <w:pPr>
        <w:pStyle w:val="Prrafodelista"/>
        <w:numPr>
          <w:ilvl w:val="0"/>
          <w:numId w:val="9"/>
        </w:numPr>
        <w:jc w:val="both"/>
      </w:pPr>
      <w:r w:rsidRPr="004419D9">
        <w:t>Los proyectos serán financiados con un tope máximo de $2.000.000 (dos millones de pesos), con un l</w:t>
      </w:r>
      <w:r w:rsidR="00A737E1">
        <w:t>í</w:t>
      </w:r>
      <w:r w:rsidRPr="004419D9">
        <w:t>mite de 1</w:t>
      </w:r>
      <w:r w:rsidR="00927C81">
        <w:t>2</w:t>
      </w:r>
      <w:r w:rsidRPr="004419D9">
        <w:t xml:space="preserve"> meses de duración.</w:t>
      </w:r>
      <w:r w:rsidR="007606FC">
        <w:t xml:space="preserve"> </w:t>
      </w:r>
    </w:p>
    <w:p w14:paraId="33CC88B6" w14:textId="493B5FAC" w:rsidR="007606FC" w:rsidRDefault="007606FC" w:rsidP="00927C81">
      <w:pPr>
        <w:pStyle w:val="Prrafodelista"/>
        <w:numPr>
          <w:ilvl w:val="0"/>
          <w:numId w:val="9"/>
        </w:numPr>
        <w:jc w:val="both"/>
      </w:pPr>
      <w:r>
        <w:t>En el presente Concurso existirá un máximo de 10 proyectos a financiar</w:t>
      </w:r>
      <w:r w:rsidR="00A737E1">
        <w:t>, de los cuales 6 deberán corresponder a investigación aplicada y 4 a investigación básica.</w:t>
      </w:r>
    </w:p>
    <w:p w14:paraId="05D23157" w14:textId="29D636D8" w:rsidR="00CD1C3D" w:rsidRPr="004419D9" w:rsidRDefault="00CD1C3D" w:rsidP="00927C81">
      <w:pPr>
        <w:pStyle w:val="Prrafodelista"/>
        <w:numPr>
          <w:ilvl w:val="0"/>
          <w:numId w:val="9"/>
        </w:numPr>
        <w:jc w:val="both"/>
      </w:pPr>
      <w:r>
        <w:t>Los proyectos que postulen para investigación aplicada deben estar enfocados en generar información que permita solucionar una problemática real de una empresa nacional, la cual puede participar como empresa asociada.</w:t>
      </w:r>
    </w:p>
    <w:p w14:paraId="42B0D455" w14:textId="1E8167D1" w:rsidR="002F2EAA" w:rsidRPr="004419D9" w:rsidRDefault="002F2EAA" w:rsidP="00927C81">
      <w:pPr>
        <w:pStyle w:val="Prrafodelista"/>
        <w:numPr>
          <w:ilvl w:val="0"/>
          <w:numId w:val="9"/>
        </w:numPr>
        <w:jc w:val="both"/>
      </w:pPr>
      <w:r w:rsidRPr="004419D9">
        <w:t xml:space="preserve">Los proyectos pueden </w:t>
      </w:r>
      <w:r w:rsidR="00807EEE" w:rsidRPr="004419D9">
        <w:t>contempla</w:t>
      </w:r>
      <w:r w:rsidRPr="004419D9">
        <w:t>r</w:t>
      </w:r>
      <w:r w:rsidR="0034716C" w:rsidRPr="004419D9">
        <w:t xml:space="preserve"> gastos de operación (Servicios de computación, </w:t>
      </w:r>
      <w:r w:rsidR="006754B8" w:rsidRPr="004419D9">
        <w:t xml:space="preserve">material fungible, </w:t>
      </w:r>
      <w:r w:rsidR="0034716C" w:rsidRPr="004419D9">
        <w:t>insumos de laboratorio, fletes,</w:t>
      </w:r>
      <w:r w:rsidR="00807EEE" w:rsidRPr="004419D9">
        <w:t xml:space="preserve"> libros,</w:t>
      </w:r>
      <w:r w:rsidR="0034716C" w:rsidRPr="004419D9">
        <w:t xml:space="preserve"> inscripciones en congreso</w:t>
      </w:r>
      <w:r w:rsidRPr="004419D9">
        <w:t>s</w:t>
      </w:r>
      <w:r w:rsidR="0099060D" w:rsidRPr="004419D9">
        <w:t>)</w:t>
      </w:r>
      <w:r w:rsidRPr="004419D9">
        <w:t>, pasajes y viáticos</w:t>
      </w:r>
      <w:r w:rsidR="00807EEE" w:rsidRPr="004419D9">
        <w:t xml:space="preserve"> y honorarios</w:t>
      </w:r>
      <w:r w:rsidRPr="004419D9">
        <w:t xml:space="preserve">, estos últimos </w:t>
      </w:r>
      <w:r w:rsidR="00807EEE" w:rsidRPr="004419D9">
        <w:t xml:space="preserve">solo para </w:t>
      </w:r>
      <w:r w:rsidRPr="004419D9">
        <w:t xml:space="preserve">los ayudantes de investigación, </w:t>
      </w:r>
      <w:r w:rsidR="00807EEE" w:rsidRPr="004419D9">
        <w:t xml:space="preserve">no </w:t>
      </w:r>
      <w:r w:rsidRPr="004419D9">
        <w:t xml:space="preserve">pudiendo superar el </w:t>
      </w:r>
      <w:r w:rsidR="00B26B34">
        <w:t>50</w:t>
      </w:r>
      <w:r w:rsidRPr="004419D9">
        <w:t>% del total de gastos</w:t>
      </w:r>
      <w:r w:rsidR="006754B8" w:rsidRPr="004419D9">
        <w:t xml:space="preserve">. </w:t>
      </w:r>
    </w:p>
    <w:p w14:paraId="52EFBBED" w14:textId="19A4996D" w:rsidR="006754B8" w:rsidRDefault="006754B8" w:rsidP="005D021D">
      <w:pPr>
        <w:pStyle w:val="Prrafodelista"/>
        <w:numPr>
          <w:ilvl w:val="0"/>
          <w:numId w:val="9"/>
        </w:numPr>
        <w:jc w:val="both"/>
      </w:pPr>
      <w:r w:rsidRPr="004419D9">
        <w:t>No se podrá usar recursos en adquisición de mobiliario.</w:t>
      </w:r>
      <w:r w:rsidR="00E821A0" w:rsidRPr="004419D9">
        <w:t xml:space="preserve"> Los libros que se adquieran, una vez culminado el proyecto, pasarán a formar parte de la Biblioteca de </w:t>
      </w:r>
      <w:r w:rsidR="00871CE7">
        <w:t>la Universidad.</w:t>
      </w:r>
    </w:p>
    <w:p w14:paraId="746EB985" w14:textId="33EED259" w:rsidR="00115CE1" w:rsidRDefault="00115CE1" w:rsidP="005D021D">
      <w:pPr>
        <w:pStyle w:val="Prrafodelista"/>
        <w:numPr>
          <w:ilvl w:val="0"/>
          <w:numId w:val="9"/>
        </w:numPr>
        <w:jc w:val="both"/>
      </w:pPr>
      <w:r>
        <w:lastRenderedPageBreak/>
        <w:t>Los proyectos adjudicados, cuando ello resulte pertinente, deberán ser revisados y aprobados por el Comité de Ética Científico de la Universidad. Para tales efectos deberán ser sometidos a consideración del mismo a partir del 25 de marzo del 2020, según calendario que se detalla más adelante.</w:t>
      </w:r>
    </w:p>
    <w:p w14:paraId="6C086424" w14:textId="5821AC7E" w:rsidR="00115CE1" w:rsidRDefault="00115CE1" w:rsidP="00115CE1">
      <w:pPr>
        <w:pStyle w:val="Prrafodelista"/>
        <w:jc w:val="both"/>
      </w:pPr>
      <w:r>
        <w:t xml:space="preserve">Si el Comité de Ética Científico formula observaciones al proyecto, será obligación del investigador subsanarlas a la brevedad. </w:t>
      </w:r>
    </w:p>
    <w:p w14:paraId="1EE3434E" w14:textId="2D97AF20" w:rsidR="00115CE1" w:rsidRPr="004419D9" w:rsidRDefault="00115CE1" w:rsidP="00115CE1">
      <w:pPr>
        <w:pStyle w:val="Prrafodelista"/>
        <w:jc w:val="both"/>
      </w:pPr>
      <w:r>
        <w:t>En el evento que el Comité Ético Científico rechace el proyecto</w:t>
      </w:r>
      <w:r w:rsidR="000C7748">
        <w:t>,</w:t>
      </w:r>
      <w:bookmarkStart w:id="0" w:name="_GoBack"/>
      <w:bookmarkEnd w:id="0"/>
      <w:r>
        <w:t xml:space="preserve"> este caducará y no podrá seguir siendo ejecutado, debiendo restituirse los fondos no ejecutados y rendir cuenta de aquellos ya ejecutados.</w:t>
      </w:r>
    </w:p>
    <w:p w14:paraId="09C65009" w14:textId="3C577734" w:rsidR="00E821A0" w:rsidRDefault="00E821A0" w:rsidP="005D021D">
      <w:pPr>
        <w:pStyle w:val="Prrafodelista"/>
        <w:numPr>
          <w:ilvl w:val="0"/>
          <w:numId w:val="9"/>
        </w:numPr>
        <w:jc w:val="both"/>
      </w:pPr>
      <w:r w:rsidRPr="004419D9">
        <w:t xml:space="preserve">El investigador que se adjudique un proyecto deberá firmar un pagaré por el monto total de los recursos asignados, debiendo responder por los mismos si por cualquier motivo no culmina satisfactoriamente </w:t>
      </w:r>
      <w:r w:rsidR="005770C8">
        <w:t>el</w:t>
      </w:r>
      <w:r w:rsidRPr="004419D9">
        <w:t xml:space="preserve"> proyecto. Esta obligación persistirá, no obstante cualquier variación contractual que experimente el investigador durante el transcurso del proyecto</w:t>
      </w:r>
      <w:r w:rsidR="005D021D">
        <w:t>, incluyendo su eventual desvinculación de la Universidad.</w:t>
      </w:r>
    </w:p>
    <w:p w14:paraId="67D85192" w14:textId="566BDC99" w:rsidR="00A737E1" w:rsidRDefault="00A737E1" w:rsidP="00A737E1">
      <w:pPr>
        <w:pStyle w:val="Prrafodelista"/>
        <w:jc w:val="both"/>
      </w:pPr>
      <w:r>
        <w:t>Si el investigador es desvinculado o renuncia a la Universidad, podrá igualmente completar su proyecto</w:t>
      </w:r>
      <w:r w:rsidR="005770C8">
        <w:t xml:space="preserve">, pero para que no se haga efectivo el pagaré que ha firmado, deberá cumplir con todas las obligaciones que trae aparejado la ejecución del proyecto y que se encuentran incluidas en estas bases, incluyendo lo estipulado en el numeral </w:t>
      </w:r>
      <w:r w:rsidR="00CD1C3D">
        <w:t>9</w:t>
      </w:r>
      <w:r w:rsidR="005770C8">
        <w:t xml:space="preserve"> de estas condiciones, pero excluyendo el numeral </w:t>
      </w:r>
      <w:r w:rsidR="00CD1C3D">
        <w:t>10</w:t>
      </w:r>
      <w:r w:rsidR="005770C8">
        <w:t xml:space="preserve">. </w:t>
      </w:r>
    </w:p>
    <w:p w14:paraId="647F4B26" w14:textId="2A67A8E7" w:rsidR="005D021D" w:rsidRDefault="005D021D" w:rsidP="005D021D">
      <w:pPr>
        <w:pStyle w:val="Prrafodelista"/>
        <w:jc w:val="both"/>
      </w:pPr>
      <w:r>
        <w:t xml:space="preserve">En el evento que exista un </w:t>
      </w:r>
      <w:r w:rsidR="00A737E1">
        <w:t>coinvestigador</w:t>
      </w:r>
      <w:r>
        <w:t xml:space="preserve">, y </w:t>
      </w:r>
      <w:r w:rsidR="00A737E1">
        <w:t xml:space="preserve">solo si </w:t>
      </w:r>
      <w:r>
        <w:t>este t</w:t>
      </w:r>
      <w:r w:rsidR="00A737E1">
        <w:t>iene</w:t>
      </w:r>
      <w:r>
        <w:t xml:space="preserve"> la calidad de profesor </w:t>
      </w:r>
      <w:r w:rsidR="00A737E1">
        <w:t xml:space="preserve">de planta o </w:t>
      </w:r>
      <w:r>
        <w:t>adjunto de la Universidad,</w:t>
      </w:r>
      <w:r w:rsidR="00A737E1">
        <w:t xml:space="preserve"> ante la ausencia o imposibilidad del investigador principal, podrá seguir ejecutando el proyecto hasta su término. </w:t>
      </w:r>
    </w:p>
    <w:p w14:paraId="7D855C0F" w14:textId="77777777" w:rsidR="00A737E1" w:rsidRDefault="00A737E1" w:rsidP="005D021D">
      <w:pPr>
        <w:pStyle w:val="Prrafodelista"/>
        <w:jc w:val="both"/>
      </w:pPr>
      <w:r>
        <w:t>En dicho caso, el investigador principal que no proseguirá con el proyecto deberá hacer una rendición de los gastos ejecutados hasta ese momento y efectuar el traspaso de todo el proyecto en ejecución al coinvestigador.</w:t>
      </w:r>
    </w:p>
    <w:p w14:paraId="44FEC163" w14:textId="5DDD84D0" w:rsidR="00A737E1" w:rsidRDefault="00A737E1" w:rsidP="005D021D">
      <w:pPr>
        <w:pStyle w:val="Prrafodelista"/>
        <w:jc w:val="both"/>
      </w:pPr>
      <w:r>
        <w:t xml:space="preserve">Aprobada esa rendición de gastos, se procederá a la devolución del pagaré al investigador principal y se hará firmar un nuevo pagaré al investigador que asumirá la conclusión del proyecto, por el saldo de gastos aún pendientes de ejecutar. </w:t>
      </w:r>
    </w:p>
    <w:p w14:paraId="163D1834" w14:textId="15356BD0" w:rsidR="00A737E1" w:rsidRPr="004419D9" w:rsidRDefault="00A737E1" w:rsidP="00A737E1">
      <w:pPr>
        <w:pStyle w:val="Prrafodelista"/>
        <w:numPr>
          <w:ilvl w:val="0"/>
          <w:numId w:val="9"/>
        </w:numPr>
        <w:jc w:val="both"/>
      </w:pPr>
      <w:r>
        <w:t>En el evento que se generara una desvinculación o renuncia a la Institución del investigador principal en el periodo que media entre la adjudicación del proyecto y el inicio de su ejecución, caducará dicho proyecto y dicho cupo se asignará a aquel proyecto que haya quedado en primer lugar dentro de los no seleccionados, de acuerdo a los puntajes de asignación y</w:t>
      </w:r>
      <w:r w:rsidR="005770C8">
        <w:t>,</w:t>
      </w:r>
      <w:r>
        <w:t xml:space="preserve"> según corresponda</w:t>
      </w:r>
      <w:r w:rsidR="005770C8">
        <w:t>,</w:t>
      </w:r>
      <w:r>
        <w:t xml:space="preserve"> dentro de los de investigación básica o aplicada.</w:t>
      </w:r>
    </w:p>
    <w:p w14:paraId="3247B46A" w14:textId="779F051D" w:rsidR="00E821A0" w:rsidRDefault="00E821A0" w:rsidP="005770C8">
      <w:pPr>
        <w:pStyle w:val="Prrafodelista"/>
        <w:numPr>
          <w:ilvl w:val="0"/>
          <w:numId w:val="9"/>
        </w:numPr>
        <w:jc w:val="both"/>
      </w:pPr>
      <w:r w:rsidRPr="004419D9">
        <w:t>Como parte de la ejecución satisfactoria del proyecto, se deberá demostrar el haber enviado</w:t>
      </w:r>
      <w:r w:rsidR="005770C8">
        <w:t>,</w:t>
      </w:r>
      <w:r w:rsidRPr="004419D9">
        <w:t xml:space="preserve"> </w:t>
      </w:r>
      <w:r w:rsidR="004419D9" w:rsidRPr="004419D9">
        <w:t>dentro del periodo de ejecución del proyecto</w:t>
      </w:r>
      <w:r w:rsidR="005770C8">
        <w:t xml:space="preserve"> o hasta un plazo máximo de 12 meses posteriores</w:t>
      </w:r>
      <w:r w:rsidR="004419D9" w:rsidRPr="004419D9">
        <w:t xml:space="preserve">, </w:t>
      </w:r>
      <w:r w:rsidRPr="004419D9">
        <w:t>a lo menos un artículo para publicación en una revista indexada WOS o Scopus</w:t>
      </w:r>
      <w:r w:rsidR="005770C8">
        <w:t xml:space="preserve"> quartiles 1, 2 o 3</w:t>
      </w:r>
      <w:r w:rsidRPr="004419D9">
        <w:t xml:space="preserve">, </w:t>
      </w:r>
      <w:r w:rsidR="005770C8">
        <w:t xml:space="preserve">en el cual se deberá incluir la </w:t>
      </w:r>
      <w:r w:rsidRPr="004419D9">
        <w:t>participación de estudiantes de pre</w:t>
      </w:r>
      <w:r w:rsidR="004419D9" w:rsidRPr="004419D9">
        <w:t xml:space="preserve"> o post </w:t>
      </w:r>
      <w:r w:rsidRPr="004419D9">
        <w:t>grado,</w:t>
      </w:r>
      <w:r w:rsidR="004419D9" w:rsidRPr="004419D9">
        <w:t xml:space="preserve"> debiendo</w:t>
      </w:r>
      <w:r w:rsidRPr="004419D9">
        <w:t xml:space="preserve"> </w:t>
      </w:r>
      <w:r w:rsidR="005770C8">
        <w:t xml:space="preserve">además </w:t>
      </w:r>
      <w:r w:rsidRPr="004419D9">
        <w:t>llevar claramente ex</w:t>
      </w:r>
      <w:r w:rsidR="004419D9" w:rsidRPr="004419D9">
        <w:t xml:space="preserve">plícita la filiación de la Universidad </w:t>
      </w:r>
      <w:r w:rsidRPr="004419D9">
        <w:t>y el có</w:t>
      </w:r>
      <w:r w:rsidR="004419D9" w:rsidRPr="004419D9">
        <w:t>digo del proyecto interno que lo</w:t>
      </w:r>
      <w:r w:rsidRPr="004419D9">
        <w:t xml:space="preserve"> financia.</w:t>
      </w:r>
    </w:p>
    <w:p w14:paraId="0EB6ACFA" w14:textId="7643AD2C" w:rsidR="005770C8" w:rsidRDefault="005770C8" w:rsidP="005770C8">
      <w:pPr>
        <w:pStyle w:val="Prrafodelista"/>
        <w:numPr>
          <w:ilvl w:val="0"/>
          <w:numId w:val="9"/>
        </w:numPr>
        <w:jc w:val="both"/>
      </w:pPr>
      <w:r>
        <w:lastRenderedPageBreak/>
        <w:t>Asimismo, será también obligación del investigador principal, dentro de los 24 meses posteriores a la adjudicación del proyecto, postular a un concurso público de proyectos de investigación y a lo menos superar en él los requisitos de admisibilidad.</w:t>
      </w:r>
    </w:p>
    <w:p w14:paraId="1D5755FD" w14:textId="1A62D58E" w:rsidR="00115CE1" w:rsidRPr="004419D9" w:rsidRDefault="00115CE1" w:rsidP="005770C8">
      <w:pPr>
        <w:pStyle w:val="Prrafodelista"/>
        <w:numPr>
          <w:ilvl w:val="0"/>
          <w:numId w:val="9"/>
        </w:numPr>
        <w:jc w:val="both"/>
      </w:pPr>
      <w:r>
        <w:t xml:space="preserve">En el evento que el investigador principal no cumpla con las obligaciones estipuladas en los números </w:t>
      </w:r>
      <w:r w:rsidR="00CD1C3D">
        <w:t>9 y 10</w:t>
      </w:r>
      <w:r>
        <w:t xml:space="preserve"> quedará inhabilitado para postular nuevamente a este Concurso y se considerará este antecedente dentro de su evaluación anual de desempeño.</w:t>
      </w:r>
    </w:p>
    <w:p w14:paraId="215497B6" w14:textId="77777777" w:rsidR="00E821A0" w:rsidRPr="004419D9" w:rsidRDefault="00E821A0" w:rsidP="00E821A0">
      <w:pPr>
        <w:jc w:val="both"/>
      </w:pPr>
    </w:p>
    <w:p w14:paraId="642D6A51" w14:textId="3D548A34" w:rsidR="00E821A0" w:rsidRPr="004419D9" w:rsidRDefault="00E821A0" w:rsidP="00E821A0">
      <w:pPr>
        <w:jc w:val="both"/>
        <w:rPr>
          <w:b/>
        </w:rPr>
      </w:pPr>
      <w:r w:rsidRPr="004419D9">
        <w:rPr>
          <w:b/>
        </w:rPr>
        <w:t>Plazos:</w:t>
      </w:r>
    </w:p>
    <w:p w14:paraId="4AB0183C" w14:textId="5CA76726" w:rsidR="00E821A0" w:rsidRPr="004419D9" w:rsidRDefault="00E821A0" w:rsidP="00E821A0">
      <w:pPr>
        <w:jc w:val="both"/>
      </w:pPr>
      <w:r w:rsidRPr="004419D9">
        <w:t xml:space="preserve">Inicio de postulaciones: </w:t>
      </w:r>
      <w:r w:rsidR="00115CE1">
        <w:t>15</w:t>
      </w:r>
      <w:r w:rsidRPr="004419D9">
        <w:t xml:space="preserve"> de </w:t>
      </w:r>
      <w:r w:rsidR="00115CE1">
        <w:t>enero</w:t>
      </w:r>
      <w:r w:rsidRPr="004419D9">
        <w:t xml:space="preserve"> de 20</w:t>
      </w:r>
      <w:r w:rsidR="00115CE1">
        <w:t>20</w:t>
      </w:r>
    </w:p>
    <w:p w14:paraId="6EACE5EB" w14:textId="293E1616" w:rsidR="00CD1C3D" w:rsidRDefault="00CD1C3D" w:rsidP="00E821A0">
      <w:pPr>
        <w:jc w:val="both"/>
      </w:pPr>
      <w:r>
        <w:t>Curso de ética en la investigación: 22 de enero de 2020</w:t>
      </w:r>
    </w:p>
    <w:p w14:paraId="609E7FAD" w14:textId="64D8DD41" w:rsidR="00E821A0" w:rsidRPr="004419D9" w:rsidRDefault="00E821A0" w:rsidP="00E821A0">
      <w:pPr>
        <w:jc w:val="both"/>
      </w:pPr>
      <w:r w:rsidRPr="004419D9">
        <w:t>Cierre de postulaciones: 5 de ma</w:t>
      </w:r>
      <w:r w:rsidR="00115CE1">
        <w:t>rzo</w:t>
      </w:r>
      <w:r w:rsidRPr="004419D9">
        <w:t xml:space="preserve"> de 20</w:t>
      </w:r>
      <w:r w:rsidR="00115CE1">
        <w:t>20</w:t>
      </w:r>
    </w:p>
    <w:p w14:paraId="3B94ED6F" w14:textId="11BABF9B" w:rsidR="00E821A0" w:rsidRPr="004419D9" w:rsidRDefault="00E821A0" w:rsidP="00E821A0">
      <w:pPr>
        <w:jc w:val="both"/>
      </w:pPr>
      <w:r w:rsidRPr="004419D9">
        <w:t xml:space="preserve">Informe de adjudicación: </w:t>
      </w:r>
      <w:r w:rsidR="00115CE1">
        <w:t>2</w:t>
      </w:r>
      <w:r w:rsidRPr="004419D9">
        <w:t xml:space="preserve">5 de </w:t>
      </w:r>
      <w:r w:rsidR="00115CE1">
        <w:t>marzo</w:t>
      </w:r>
      <w:r w:rsidRPr="004419D9">
        <w:t xml:space="preserve"> de 20</w:t>
      </w:r>
      <w:r w:rsidR="00115CE1">
        <w:t>20</w:t>
      </w:r>
    </w:p>
    <w:p w14:paraId="5B659024" w14:textId="5A9EA484" w:rsidR="00E821A0" w:rsidRDefault="00E821A0" w:rsidP="00E821A0">
      <w:pPr>
        <w:jc w:val="both"/>
      </w:pPr>
      <w:r w:rsidRPr="004419D9">
        <w:t xml:space="preserve">Inicio de propuestas adjudicadas: 1 de </w:t>
      </w:r>
      <w:r w:rsidR="00115CE1">
        <w:t xml:space="preserve">abril </w:t>
      </w:r>
      <w:r w:rsidRPr="004419D9">
        <w:t>de 20</w:t>
      </w:r>
      <w:r w:rsidR="00115CE1">
        <w:t>20</w:t>
      </w:r>
    </w:p>
    <w:p w14:paraId="131A4575" w14:textId="44501E95" w:rsidR="00871CE7" w:rsidRPr="004419D9" w:rsidRDefault="00871CE7" w:rsidP="00E821A0">
      <w:pPr>
        <w:jc w:val="both"/>
      </w:pPr>
      <w:r>
        <w:t>Informe de avance: 30 de agosto 2020</w:t>
      </w:r>
    </w:p>
    <w:p w14:paraId="2DBA6228" w14:textId="772F37ED" w:rsidR="00E821A0" w:rsidRPr="004419D9" w:rsidRDefault="00E821A0" w:rsidP="00E821A0">
      <w:pPr>
        <w:jc w:val="both"/>
      </w:pPr>
      <w:r w:rsidRPr="004419D9">
        <w:t xml:space="preserve">Rendición final del Proyecto: Fecha tope el </w:t>
      </w:r>
      <w:r w:rsidR="00115CE1">
        <w:t>31</w:t>
      </w:r>
      <w:r w:rsidRPr="004419D9">
        <w:t xml:space="preserve"> de </w:t>
      </w:r>
      <w:r w:rsidR="00115CE1">
        <w:t xml:space="preserve">marzo </w:t>
      </w:r>
      <w:r w:rsidRPr="004419D9">
        <w:t>de 20</w:t>
      </w:r>
      <w:r w:rsidR="00115CE1">
        <w:t>2</w:t>
      </w:r>
      <w:r w:rsidR="00CD1C3D">
        <w:t>1</w:t>
      </w:r>
    </w:p>
    <w:p w14:paraId="2EDC4931" w14:textId="77777777" w:rsidR="00E821A0" w:rsidRPr="004419D9" w:rsidRDefault="00E821A0" w:rsidP="00E821A0">
      <w:pPr>
        <w:jc w:val="both"/>
      </w:pPr>
    </w:p>
    <w:p w14:paraId="52095BB2" w14:textId="32A31867" w:rsidR="006754B8" w:rsidRPr="00AC58E4" w:rsidRDefault="00AC58E4" w:rsidP="00DB7078">
      <w:pPr>
        <w:jc w:val="both"/>
        <w:rPr>
          <w:b/>
        </w:rPr>
      </w:pPr>
      <w:r w:rsidRPr="00AC58E4">
        <w:rPr>
          <w:b/>
        </w:rPr>
        <w:t>Evaluación de los proyectos:</w:t>
      </w:r>
    </w:p>
    <w:p w14:paraId="1E819EF2" w14:textId="5A4083CA" w:rsidR="00AF5902" w:rsidRDefault="007606FC" w:rsidP="007606FC">
      <w:pPr>
        <w:jc w:val="both"/>
      </w:pPr>
      <w:r w:rsidRPr="007606FC">
        <w:t xml:space="preserve">Para la evaluación de los proyectos </w:t>
      </w:r>
      <w:r w:rsidR="00CD1C3D">
        <w:t xml:space="preserve">de investigación básica </w:t>
      </w:r>
      <w:r w:rsidRPr="007606FC">
        <w:t>se utilizará la siguiente asignación de ponderaciones:</w:t>
      </w:r>
    </w:p>
    <w:p w14:paraId="59E4AF45" w14:textId="77777777" w:rsidR="007606FC" w:rsidRPr="007606FC" w:rsidRDefault="007606FC" w:rsidP="007606FC">
      <w:pPr>
        <w:jc w:val="both"/>
      </w:pPr>
    </w:p>
    <w:tbl>
      <w:tblPr>
        <w:tblW w:w="89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439"/>
        <w:gridCol w:w="4207"/>
        <w:gridCol w:w="1189"/>
        <w:gridCol w:w="885"/>
      </w:tblGrid>
      <w:tr w:rsidR="00AF5902" w14:paraId="6A32B7BC" w14:textId="77777777" w:rsidTr="00625805">
        <w:trPr>
          <w:trHeight w:val="532"/>
        </w:trPr>
        <w:tc>
          <w:tcPr>
            <w:tcW w:w="2195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B7D88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Evaluación del proyecto </w:t>
            </w:r>
          </w:p>
        </w:tc>
        <w:tc>
          <w:tcPr>
            <w:tcW w:w="439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BBF85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52B0AEAE" wp14:editId="5F2A3794">
                  <wp:extent cx="10160" cy="10160"/>
                  <wp:effectExtent l="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F278F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4207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D756A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Calidad de la propuesta: </w:t>
            </w:r>
          </w:p>
        </w:tc>
        <w:tc>
          <w:tcPr>
            <w:tcW w:w="1189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E1C87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71A317F5" wp14:editId="18DB0120">
                  <wp:extent cx="10160" cy="101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949A6" w14:textId="1C9A64A8" w:rsidR="00AF5902" w:rsidRDefault="00CD1C3D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4</w:t>
            </w:r>
            <w:r w:rsidR="00871CE7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0</w:t>
            </w:r>
            <w:r w:rsidR="00AF5902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% </w:t>
            </w:r>
          </w:p>
        </w:tc>
        <w:tc>
          <w:tcPr>
            <w:tcW w:w="885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B40A5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24C6EA7D" wp14:editId="7E1E8A48">
                  <wp:extent cx="10160" cy="101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BBD86" w14:textId="2FCCB7FA" w:rsidR="00AF5902" w:rsidRDefault="00CD1C3D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70</w:t>
            </w:r>
            <w:r w:rsidR="00AF5902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% </w:t>
            </w:r>
          </w:p>
        </w:tc>
      </w:tr>
      <w:tr w:rsidR="00AF5902" w14:paraId="4D805399" w14:textId="77777777" w:rsidTr="00625805">
        <w:tblPrEx>
          <w:tblBorders>
            <w:top w:val="none" w:sz="0" w:space="0" w:color="auto"/>
          </w:tblBorders>
        </w:tblPrEx>
        <w:trPr>
          <w:trHeight w:val="1440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FA374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439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E7227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E3A48" w14:textId="77777777" w:rsidR="00AF5902" w:rsidRP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 xml:space="preserve">Fundamentos teóricos conceptuales, hipótesis, objetivos, metodología, novedad científica o tecnológica de la propuesta y potencial impacto. </w:t>
            </w:r>
          </w:p>
        </w:tc>
        <w:tc>
          <w:tcPr>
            <w:tcW w:w="1189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E9639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60025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</w:tr>
      <w:tr w:rsidR="00AF5902" w14:paraId="16F127C6" w14:textId="77777777" w:rsidTr="00625805">
        <w:tblPrEx>
          <w:tblBorders>
            <w:top w:val="none" w:sz="0" w:space="0" w:color="auto"/>
          </w:tblBorders>
        </w:tblPrEx>
        <w:trPr>
          <w:trHeight w:val="544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3EB59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89C35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D8626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Viabilidad: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06B64" w14:textId="23DEB486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3</w:t>
            </w:r>
            <w:r w:rsidR="00CD1C3D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% </w:t>
            </w: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4EAD1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</w:tr>
      <w:tr w:rsidR="00AF5902" w14:paraId="5EE7B407" w14:textId="77777777" w:rsidTr="00625805">
        <w:tblPrEx>
          <w:tblBorders>
            <w:top w:val="none" w:sz="0" w:space="0" w:color="auto"/>
          </w:tblBorders>
        </w:tblPrEx>
        <w:trPr>
          <w:trHeight w:val="1498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F9439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61882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73036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 xml:space="preserve">Coherencia plan de trabajo/metodología/objetivos Factibilidad de la propuesta. Disponibilidad de recursos e infraestructura.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13A31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25AF0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s-ES"/>
              </w:rPr>
            </w:pPr>
          </w:p>
        </w:tc>
      </w:tr>
      <w:tr w:rsidR="00AF5902" w14:paraId="68F0ABD9" w14:textId="77777777" w:rsidTr="00625805">
        <w:tblPrEx>
          <w:tblBorders>
            <w:top w:val="none" w:sz="0" w:space="0" w:color="auto"/>
          </w:tblBorders>
        </w:tblPrEx>
        <w:trPr>
          <w:trHeight w:val="81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260B5" w14:textId="4F00C4B4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Evaluación curricular </w:t>
            </w:r>
            <w:r w:rsidR="007606FC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*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4FCBC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0913D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 xml:space="preserve">Productividad Investigador(a) Responsable (en base a CV).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09BF0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B2AAB" w14:textId="2234CAD8" w:rsidR="00AF5902" w:rsidRDefault="00CD1C3D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30</w:t>
            </w:r>
            <w:r w:rsidR="00AF5902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% </w:t>
            </w:r>
          </w:p>
        </w:tc>
      </w:tr>
      <w:tr w:rsidR="00AF5902" w14:paraId="23C7F6DC" w14:textId="77777777" w:rsidTr="00625805">
        <w:trPr>
          <w:trHeight w:val="89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D99D7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 xml:space="preserve">Total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3D087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74ABFA4B" wp14:editId="04ADFF1E">
                  <wp:extent cx="10160" cy="101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BBF6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E9BF1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2220DCB8" wp14:editId="61C048DF">
                  <wp:extent cx="10160" cy="101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142A5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s-ES"/>
              </w:rPr>
              <w:t xml:space="preserve">100% </w:t>
            </w:r>
          </w:p>
          <w:p w14:paraId="5B068277" w14:textId="77777777" w:rsidR="00AF5902" w:rsidRDefault="00AF5902" w:rsidP="00DB707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CL" w:eastAsia="es-CL"/>
              </w:rPr>
              <w:drawing>
                <wp:inline distT="0" distB="0" distL="0" distR="0" wp14:anchorId="28B87E89" wp14:editId="48DB1A59">
                  <wp:extent cx="10160" cy="1016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</w:tr>
    </w:tbl>
    <w:p w14:paraId="3EFD4EC6" w14:textId="4ED7BA88" w:rsidR="007606FC" w:rsidRDefault="007606FC" w:rsidP="00625805">
      <w:pPr>
        <w:jc w:val="both"/>
        <w:rPr>
          <w:sz w:val="18"/>
          <w:szCs w:val="18"/>
        </w:rPr>
      </w:pPr>
      <w:r w:rsidRPr="007606FC">
        <w:rPr>
          <w:sz w:val="28"/>
          <w:szCs w:val="28"/>
        </w:rPr>
        <w:t xml:space="preserve"> * </w:t>
      </w:r>
      <w:r w:rsidR="00BD0555" w:rsidRPr="007606FC">
        <w:rPr>
          <w:sz w:val="18"/>
          <w:szCs w:val="18"/>
        </w:rPr>
        <w:t>Se evaluar</w:t>
      </w:r>
      <w:r w:rsidR="0099060D" w:rsidRPr="007606FC">
        <w:rPr>
          <w:sz w:val="18"/>
          <w:szCs w:val="18"/>
        </w:rPr>
        <w:t>á</w:t>
      </w:r>
      <w:r w:rsidR="00BD0555" w:rsidRPr="007606FC">
        <w:rPr>
          <w:sz w:val="18"/>
          <w:szCs w:val="18"/>
        </w:rPr>
        <w:t xml:space="preserve"> los antecedentes curriculares del investigador responsable respecto de su capacidad y productividad en los últimos 5 años</w:t>
      </w:r>
      <w:r w:rsidR="00CD1C3D">
        <w:rPr>
          <w:sz w:val="18"/>
          <w:szCs w:val="18"/>
        </w:rPr>
        <w:t xml:space="preserve"> o, 7 años, si se tratare de una investigadora que durante el último lustro tuvo uno o más hijos.</w:t>
      </w:r>
      <w:r>
        <w:rPr>
          <w:sz w:val="18"/>
          <w:szCs w:val="18"/>
        </w:rPr>
        <w:t xml:space="preserve"> </w:t>
      </w:r>
      <w:r w:rsidRPr="007606FC">
        <w:rPr>
          <w:sz w:val="18"/>
          <w:szCs w:val="18"/>
        </w:rPr>
        <w:t>Se considerarán las publicaciones WOS y Scopus, libros y capítulos de libros con un máximo de 10 artículos en cada una de ellas.</w:t>
      </w:r>
    </w:p>
    <w:p w14:paraId="06D7B5AF" w14:textId="5BCFA7F1" w:rsidR="00C31172" w:rsidRDefault="007606FC" w:rsidP="00625805">
      <w:pPr>
        <w:jc w:val="both"/>
        <w:rPr>
          <w:sz w:val="18"/>
          <w:szCs w:val="18"/>
        </w:rPr>
      </w:pPr>
      <w:r w:rsidRPr="007606FC">
        <w:rPr>
          <w:sz w:val="18"/>
          <w:szCs w:val="18"/>
        </w:rPr>
        <w:t>Para quienes formulen proyectos cuyos objetivos se enmarquen dentro de las siguientes categorías, basadas en los Grupos de estudio de FONDECYT</w:t>
      </w:r>
      <w:r>
        <w:rPr>
          <w:sz w:val="18"/>
          <w:szCs w:val="18"/>
        </w:rPr>
        <w:t xml:space="preserve">: </w:t>
      </w:r>
      <w:r w:rsidRPr="007606FC">
        <w:rPr>
          <w:bCs/>
          <w:sz w:val="18"/>
          <w:szCs w:val="18"/>
        </w:rPr>
        <w:t>AGRONOMÍA; ASTRONOMÍA, COSMOLOGÍA Y PARTÍCULAS; BIOLOGÍA 1, 2 y 3; CIENCIAS DE LA TIERRA; CIENCIAS ECONÓMICAS Y ADMINISTRATIVAS; FÍSICA TEÓRICA Y EXPERIMENTAL; INGENIERÍA 1, 2 y 3; MATEMÁTICAS; MEDICINA G1 CS. BIOMÉDICAS; QUÍMICA; SALUD Y PRODUCCIÓN ANIMAL</w:t>
      </w:r>
      <w:r w:rsidR="00625805">
        <w:rPr>
          <w:b/>
          <w:bCs/>
          <w:sz w:val="18"/>
          <w:szCs w:val="18"/>
        </w:rPr>
        <w:t xml:space="preserve">, </w:t>
      </w:r>
      <w:r w:rsidRPr="007606FC">
        <w:rPr>
          <w:b/>
          <w:bCs/>
          <w:sz w:val="18"/>
          <w:szCs w:val="18"/>
        </w:rPr>
        <w:t xml:space="preserve"> </w:t>
      </w:r>
      <w:r w:rsidR="00625805">
        <w:rPr>
          <w:bCs/>
          <w:sz w:val="18"/>
          <w:szCs w:val="18"/>
        </w:rPr>
        <w:t>e</w:t>
      </w:r>
      <w:r w:rsidRPr="007606FC">
        <w:rPr>
          <w:bCs/>
          <w:sz w:val="18"/>
          <w:szCs w:val="18"/>
        </w:rPr>
        <w:t>l criterio de evaluación será el siguiente:</w:t>
      </w:r>
      <w:r w:rsidR="00625805">
        <w:rPr>
          <w:bCs/>
          <w:sz w:val="18"/>
          <w:szCs w:val="18"/>
        </w:rPr>
        <w:t xml:space="preserve"> </w:t>
      </w:r>
      <w:r w:rsidR="00C31172" w:rsidRPr="00625805">
        <w:rPr>
          <w:sz w:val="18"/>
          <w:szCs w:val="18"/>
        </w:rPr>
        <w:t xml:space="preserve">El cálculo del puntaje asociado a la productividad se tomará simplemente como </w:t>
      </w:r>
      <w:r w:rsidR="00806EC9" w:rsidRPr="00625805">
        <w:rPr>
          <w:sz w:val="18"/>
          <w:szCs w:val="18"/>
        </w:rPr>
        <w:t>la sumatoria de los índices de impacto</w:t>
      </w:r>
      <w:r w:rsidR="00C31172" w:rsidRPr="00625805">
        <w:rPr>
          <w:sz w:val="18"/>
          <w:szCs w:val="18"/>
        </w:rPr>
        <w:t xml:space="preserve"> asociados a cada indexación</w:t>
      </w:r>
      <w:r w:rsidR="00157E2A" w:rsidRPr="00625805">
        <w:rPr>
          <w:sz w:val="18"/>
          <w:szCs w:val="18"/>
        </w:rPr>
        <w:t xml:space="preserve"> dividido por el total de publicaciones</w:t>
      </w:r>
      <w:r w:rsidR="00C31172" w:rsidRPr="00625805">
        <w:rPr>
          <w:sz w:val="18"/>
          <w:szCs w:val="18"/>
        </w:rPr>
        <w:t>. El puntaje obtenido en cada art</w:t>
      </w:r>
      <w:r w:rsidR="0099060D" w:rsidRPr="00625805">
        <w:rPr>
          <w:sz w:val="18"/>
          <w:szCs w:val="18"/>
        </w:rPr>
        <w:t>í</w:t>
      </w:r>
      <w:r w:rsidR="00C31172" w:rsidRPr="00625805">
        <w:rPr>
          <w:sz w:val="18"/>
          <w:szCs w:val="18"/>
        </w:rPr>
        <w:t xml:space="preserve">culo se multiplica por </w:t>
      </w:r>
      <w:r w:rsidR="00806EC9" w:rsidRPr="00625805">
        <w:rPr>
          <w:sz w:val="18"/>
          <w:szCs w:val="18"/>
        </w:rPr>
        <w:t>2 si e</w:t>
      </w:r>
      <w:r w:rsidR="0099060D" w:rsidRPr="00625805">
        <w:rPr>
          <w:sz w:val="18"/>
          <w:szCs w:val="18"/>
        </w:rPr>
        <w:t>l</w:t>
      </w:r>
      <w:r w:rsidR="00806EC9" w:rsidRPr="00625805">
        <w:rPr>
          <w:sz w:val="18"/>
          <w:szCs w:val="18"/>
        </w:rPr>
        <w:t>(la) investigador(a) responsable es autor correspondiente o primer autor</w:t>
      </w:r>
      <w:r w:rsidR="00625805">
        <w:rPr>
          <w:sz w:val="18"/>
          <w:szCs w:val="18"/>
        </w:rPr>
        <w:t>.</w:t>
      </w:r>
    </w:p>
    <w:p w14:paraId="486AAA42" w14:textId="3F127A6C" w:rsidR="00CD1C3D" w:rsidRDefault="00CD1C3D" w:rsidP="00625805">
      <w:pPr>
        <w:jc w:val="both"/>
        <w:rPr>
          <w:sz w:val="18"/>
          <w:szCs w:val="18"/>
        </w:rPr>
      </w:pPr>
    </w:p>
    <w:p w14:paraId="42EF4FE9" w14:textId="71D96CD7" w:rsidR="00CD1C3D" w:rsidRDefault="00CD1C3D" w:rsidP="00625805">
      <w:pPr>
        <w:jc w:val="both"/>
        <w:rPr>
          <w:sz w:val="18"/>
          <w:szCs w:val="18"/>
        </w:rPr>
      </w:pPr>
    </w:p>
    <w:p w14:paraId="70997B73" w14:textId="77777777" w:rsidR="00CD1C3D" w:rsidRPr="00CD1C3D" w:rsidRDefault="00CD1C3D" w:rsidP="00CD1C3D">
      <w:pPr>
        <w:jc w:val="both"/>
      </w:pPr>
      <w:r w:rsidRPr="00CD1C3D">
        <w:t>Para la evaluación de los proyectos postulados a la modalidad investigación aplicada, se utilizará la siguiente asignación de ponderaciones:</w:t>
      </w:r>
    </w:p>
    <w:p w14:paraId="4B21E835" w14:textId="77777777" w:rsidR="00CD1C3D" w:rsidRPr="00CD1C3D" w:rsidRDefault="00CD1C3D" w:rsidP="00CD1C3D">
      <w:pPr>
        <w:jc w:val="both"/>
      </w:pPr>
    </w:p>
    <w:tbl>
      <w:tblPr>
        <w:tblW w:w="89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439"/>
        <w:gridCol w:w="4207"/>
        <w:gridCol w:w="1189"/>
        <w:gridCol w:w="885"/>
      </w:tblGrid>
      <w:tr w:rsidR="00CD1C3D" w:rsidRPr="00CD1C3D" w14:paraId="315DB76C" w14:textId="77777777" w:rsidTr="0055372B">
        <w:trPr>
          <w:trHeight w:val="532"/>
        </w:trPr>
        <w:tc>
          <w:tcPr>
            <w:tcW w:w="2195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615CA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Evaluación del proyecto </w:t>
            </w:r>
          </w:p>
        </w:tc>
        <w:tc>
          <w:tcPr>
            <w:tcW w:w="439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ECCBD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0EB5BAF5" wp14:editId="6CD21042">
                  <wp:extent cx="10160" cy="10160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126EF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1 </w:t>
            </w:r>
          </w:p>
        </w:tc>
        <w:tc>
          <w:tcPr>
            <w:tcW w:w="4207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F621D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Calidad de la propuesta: </w:t>
            </w:r>
          </w:p>
        </w:tc>
        <w:tc>
          <w:tcPr>
            <w:tcW w:w="1189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3AA5C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51C6AA36" wp14:editId="4D7CCBBC">
                  <wp:extent cx="10160" cy="1016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B4B42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50% </w:t>
            </w:r>
          </w:p>
        </w:tc>
        <w:tc>
          <w:tcPr>
            <w:tcW w:w="885" w:type="dxa"/>
            <w:vMerge w:val="restart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319E3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47A0B746" wp14:editId="7BA3D94F">
                  <wp:extent cx="10160" cy="1016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4FD80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80% </w:t>
            </w:r>
          </w:p>
        </w:tc>
      </w:tr>
      <w:tr w:rsidR="00CD1C3D" w:rsidRPr="00CD1C3D" w14:paraId="62A11258" w14:textId="77777777" w:rsidTr="0055372B">
        <w:tblPrEx>
          <w:tblBorders>
            <w:top w:val="none" w:sz="0" w:space="0" w:color="auto"/>
          </w:tblBorders>
        </w:tblPrEx>
        <w:trPr>
          <w:trHeight w:val="1440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6C3E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439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F87B3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5BD90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ES"/>
              </w:rPr>
              <w:t xml:space="preserve">Desafío empresarial, Solución propuesta, Fundamentos teóricos conceptuales, hipótesis, objetivos, metodología, novedad científica o tecnológica de la propuesta y potencial impacto. </w:t>
            </w:r>
          </w:p>
        </w:tc>
        <w:tc>
          <w:tcPr>
            <w:tcW w:w="1189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6077E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A3FDF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</w:tr>
      <w:tr w:rsidR="00CD1C3D" w:rsidRPr="00CD1C3D" w14:paraId="2DEFA035" w14:textId="77777777" w:rsidTr="0055372B">
        <w:tblPrEx>
          <w:tblBorders>
            <w:top w:val="none" w:sz="0" w:space="0" w:color="auto"/>
          </w:tblBorders>
        </w:tblPrEx>
        <w:trPr>
          <w:trHeight w:val="544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9ACFC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E126C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2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568AB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Viabilidad: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D1AC5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30% </w:t>
            </w: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8EFAD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</w:tr>
      <w:tr w:rsidR="00CD1C3D" w:rsidRPr="00CD1C3D" w14:paraId="419B179D" w14:textId="77777777" w:rsidTr="0055372B">
        <w:tblPrEx>
          <w:tblBorders>
            <w:top w:val="none" w:sz="0" w:space="0" w:color="auto"/>
          </w:tblBorders>
        </w:tblPrEx>
        <w:trPr>
          <w:trHeight w:val="1498"/>
        </w:trPr>
        <w:tc>
          <w:tcPr>
            <w:tcW w:w="219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1DB5B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9248C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BFDAD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ES"/>
              </w:rPr>
              <w:t xml:space="preserve">Coherencia plan de trabajo/metodología/objetivos Factibilidad de la propuesta. Disponibilidad de recursos e infraestructura.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FC87D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885" w:type="dxa"/>
            <w:vMerge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B39F4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</w:tr>
      <w:tr w:rsidR="00CD1C3D" w:rsidRPr="00CD1C3D" w14:paraId="00F13B0B" w14:textId="77777777" w:rsidTr="0055372B">
        <w:tblPrEx>
          <w:tblBorders>
            <w:top w:val="none" w:sz="0" w:space="0" w:color="auto"/>
          </w:tblBorders>
        </w:tblPrEx>
        <w:trPr>
          <w:trHeight w:val="81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5B0EF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>Evaluación curricular *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1A4EF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3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10BB7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ES"/>
              </w:rPr>
              <w:t xml:space="preserve">Productividad Investigador(a) Responsable (en base a CV).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B2960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EFCB2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20% </w:t>
            </w:r>
          </w:p>
        </w:tc>
      </w:tr>
      <w:tr w:rsidR="00CD1C3D" w:rsidRPr="00CD1C3D" w14:paraId="470CB224" w14:textId="77777777" w:rsidTr="0055372B">
        <w:trPr>
          <w:trHeight w:val="89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2CA92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Total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21802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57D4A695" wp14:editId="140777C6">
                  <wp:extent cx="10160" cy="1016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C3D">
              <w:rPr>
                <w:lang w:val="es-E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FE947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54002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7D8AB201" wp14:editId="4CDBD0B7">
                  <wp:extent cx="10160" cy="1016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C3D">
              <w:rPr>
                <w:lang w:val="es-E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53FE8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b/>
                <w:bCs/>
                <w:lang w:val="es-ES"/>
              </w:rPr>
              <w:t xml:space="preserve">100% </w:t>
            </w:r>
          </w:p>
          <w:p w14:paraId="7B715D14" w14:textId="77777777" w:rsidR="00CD1C3D" w:rsidRPr="00CD1C3D" w:rsidRDefault="00CD1C3D" w:rsidP="00CD1C3D">
            <w:pPr>
              <w:jc w:val="both"/>
              <w:rPr>
                <w:lang w:val="es-ES"/>
              </w:rPr>
            </w:pPr>
            <w:r w:rsidRPr="00CD1C3D">
              <w:rPr>
                <w:lang w:val="es-CL"/>
              </w:rPr>
              <w:drawing>
                <wp:inline distT="0" distB="0" distL="0" distR="0" wp14:anchorId="27E2DC2A" wp14:editId="45250F60">
                  <wp:extent cx="10160" cy="101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C3D">
              <w:rPr>
                <w:lang w:val="es-ES"/>
              </w:rPr>
              <w:t xml:space="preserve"> </w:t>
            </w:r>
          </w:p>
        </w:tc>
      </w:tr>
    </w:tbl>
    <w:p w14:paraId="4D1AF2CF" w14:textId="5F99CA2C" w:rsidR="00CD1C3D" w:rsidRPr="000C7748" w:rsidRDefault="00CD1C3D" w:rsidP="00CD1C3D">
      <w:pPr>
        <w:jc w:val="both"/>
        <w:rPr>
          <w:sz w:val="18"/>
          <w:szCs w:val="18"/>
        </w:rPr>
      </w:pPr>
      <w:r w:rsidRPr="00CD1C3D">
        <w:t xml:space="preserve"> </w:t>
      </w:r>
      <w:r w:rsidRPr="000C7748">
        <w:rPr>
          <w:sz w:val="18"/>
          <w:szCs w:val="18"/>
        </w:rPr>
        <w:t>* Se evaluará los antecedentes curriculares del investigador responsable respecto de su capacidad y productividad en los últimos 5 años</w:t>
      </w:r>
      <w:r w:rsidR="000C7748" w:rsidRPr="000C7748">
        <w:rPr>
          <w:sz w:val="18"/>
          <w:szCs w:val="18"/>
        </w:rPr>
        <w:t xml:space="preserve"> o, 7 años, si se tratare de una investigadora que durante el último lustro tuvo uno o más hijos</w:t>
      </w:r>
      <w:r w:rsidRPr="000C7748">
        <w:rPr>
          <w:sz w:val="18"/>
          <w:szCs w:val="18"/>
        </w:rPr>
        <w:t xml:space="preserve">. Se considerarán las publicaciones WOS y </w:t>
      </w:r>
      <w:proofErr w:type="spellStart"/>
      <w:r w:rsidRPr="000C7748">
        <w:rPr>
          <w:sz w:val="18"/>
          <w:szCs w:val="18"/>
        </w:rPr>
        <w:t>Scopus</w:t>
      </w:r>
      <w:proofErr w:type="spellEnd"/>
      <w:r w:rsidRPr="000C7748">
        <w:rPr>
          <w:sz w:val="18"/>
          <w:szCs w:val="18"/>
        </w:rPr>
        <w:t>, libros y capítulos de libros con un máximo de 10 artículos en cada una de ellas.</w:t>
      </w:r>
    </w:p>
    <w:p w14:paraId="1DE1BFF9" w14:textId="6A45D10F" w:rsidR="00CD1C3D" w:rsidRPr="000C7748" w:rsidRDefault="00CD1C3D" w:rsidP="00CD1C3D">
      <w:pPr>
        <w:jc w:val="both"/>
        <w:rPr>
          <w:sz w:val="18"/>
          <w:szCs w:val="18"/>
        </w:rPr>
      </w:pPr>
      <w:r w:rsidRPr="000C7748">
        <w:rPr>
          <w:sz w:val="18"/>
          <w:szCs w:val="18"/>
        </w:rPr>
        <w:lastRenderedPageBreak/>
        <w:t xml:space="preserve">Para quienes formulen proyectos cuyos objetivos se enmarquen dentro de las siguientes categorías, basadas en los Grupos de estudio de FONDECYT: </w:t>
      </w:r>
      <w:r w:rsidRPr="000C7748">
        <w:rPr>
          <w:bCs/>
          <w:sz w:val="18"/>
          <w:szCs w:val="18"/>
        </w:rPr>
        <w:t>AGRONOMÍA; ASTRONOMÍA, COSMOLOGÍA Y PARTÍCULAS; BIOLOGÍA 1, 2 y 3; CIENCIAS DE LA TIERRA; CIENCIAS ECONÓMICAS Y ADMINISTRATIVAS; FÍSICA TEÓRICA Y EXPERIMENTAL; INGENIERÍA 1, 2 y 3; MATEMÁTICAS; MEDICINA G1 CS. BIOMÉDICAS; QUÍMICA; SALUD Y PRODUCCIÓN ANIMAL</w:t>
      </w:r>
      <w:r w:rsidRPr="000C7748">
        <w:rPr>
          <w:b/>
          <w:bCs/>
          <w:sz w:val="18"/>
          <w:szCs w:val="18"/>
        </w:rPr>
        <w:t xml:space="preserve">, </w:t>
      </w:r>
      <w:r w:rsidRPr="000C7748">
        <w:rPr>
          <w:bCs/>
          <w:sz w:val="18"/>
          <w:szCs w:val="18"/>
        </w:rPr>
        <w:t xml:space="preserve">el criterio de evaluación será el siguiente: </w:t>
      </w:r>
      <w:r w:rsidRPr="000C7748">
        <w:rPr>
          <w:sz w:val="18"/>
          <w:szCs w:val="18"/>
        </w:rPr>
        <w:t>El cálculo del puntaje asociado a la productividad se tomará simplemente como la sumatoria de los índices de impacto asociados a cada indexación dividido por el total de publicaciones. El puntaje obtenido en cada artículo se multiplica por 2 si el(la) investigador(a) responsable es autor correspondiente o primer autor.</w:t>
      </w:r>
    </w:p>
    <w:p w14:paraId="788E85F3" w14:textId="77777777" w:rsidR="00CD1C3D" w:rsidRPr="000C7748" w:rsidRDefault="00CD1C3D" w:rsidP="00CD1C3D">
      <w:pPr>
        <w:jc w:val="both"/>
        <w:rPr>
          <w:sz w:val="18"/>
          <w:szCs w:val="18"/>
        </w:rPr>
      </w:pPr>
    </w:p>
    <w:p w14:paraId="3D317415" w14:textId="77777777" w:rsidR="00CD1C3D" w:rsidRPr="00625805" w:rsidRDefault="00CD1C3D" w:rsidP="00625805">
      <w:pPr>
        <w:jc w:val="both"/>
        <w:rPr>
          <w:sz w:val="18"/>
          <w:szCs w:val="18"/>
        </w:rPr>
      </w:pPr>
    </w:p>
    <w:p w14:paraId="1A93CB3E" w14:textId="77777777" w:rsidR="0095564E" w:rsidRPr="0095564E" w:rsidRDefault="0095564E" w:rsidP="0095564E">
      <w:pPr>
        <w:jc w:val="both"/>
      </w:pPr>
      <w:r w:rsidRPr="0095564E">
        <w:t xml:space="preserve">Cada uno de los Ítem serán </w:t>
      </w:r>
      <w:proofErr w:type="gramStart"/>
      <w:r w:rsidRPr="0095564E">
        <w:t>evaluados</w:t>
      </w:r>
      <w:proofErr w:type="gramEnd"/>
      <w:r w:rsidRPr="0095564E">
        <w:t xml:space="preserve"> con notas de 0 – 5 en donde: 5 (Excelente), 4 a 4,9 (Muy Bueno), 3 a 3,9 (Bueno), 2 a 2,9 (Regular), 1 a 1,9 (Deficiente) y 0 a 0,9 (No Califica). Aquellos investigadores cuyos antecedentes sean calificados en las dos últimas categorías no serán beneficiados. </w:t>
      </w:r>
    </w:p>
    <w:p w14:paraId="2B2B964E" w14:textId="77777777" w:rsidR="0095564E" w:rsidRDefault="0095564E" w:rsidP="00625805">
      <w:pPr>
        <w:jc w:val="both"/>
      </w:pPr>
    </w:p>
    <w:p w14:paraId="3D230FA7" w14:textId="38483E5D" w:rsidR="00625805" w:rsidRPr="00625805" w:rsidRDefault="00625805" w:rsidP="00625805">
      <w:pPr>
        <w:jc w:val="both"/>
      </w:pPr>
      <w:r w:rsidRPr="00625805">
        <w:t xml:space="preserve">La evaluación de los proyectos corresponderá a una Comisión designada por Resolución del Vicerrector de </w:t>
      </w:r>
      <w:r w:rsidR="00115CE1">
        <w:t xml:space="preserve">Vinculación con el Medio e </w:t>
      </w:r>
      <w:r w:rsidRPr="00625805">
        <w:t>Investigación, la que deberá estar integrada por investigadores representativos de las diferentes líneas de investigación que se impulsan dentro de la Universidad</w:t>
      </w:r>
      <w:r w:rsidR="00115CE1">
        <w:t>.</w:t>
      </w:r>
      <w:r>
        <w:t xml:space="preserve"> </w:t>
      </w:r>
    </w:p>
    <w:p w14:paraId="7BB155B6" w14:textId="77777777" w:rsidR="007606FC" w:rsidRDefault="007606FC" w:rsidP="00DB7078">
      <w:pPr>
        <w:jc w:val="both"/>
      </w:pPr>
    </w:p>
    <w:p w14:paraId="5D3227FE" w14:textId="6BE963BB" w:rsidR="007606FC" w:rsidRPr="0095564E" w:rsidRDefault="0095564E" w:rsidP="00DB7078">
      <w:pPr>
        <w:jc w:val="both"/>
        <w:rPr>
          <w:b/>
        </w:rPr>
      </w:pPr>
      <w:r w:rsidRPr="0095564E">
        <w:rPr>
          <w:b/>
        </w:rPr>
        <w:t>Presentación de los proyectos:</w:t>
      </w:r>
    </w:p>
    <w:p w14:paraId="7789E842" w14:textId="77777777" w:rsidR="00871CE7" w:rsidRDefault="00E3267B" w:rsidP="0095564E">
      <w:pPr>
        <w:widowControl w:val="0"/>
        <w:autoSpaceDE w:val="0"/>
        <w:autoSpaceDN w:val="0"/>
        <w:adjustRightInd w:val="0"/>
        <w:spacing w:after="240"/>
        <w:jc w:val="both"/>
      </w:pPr>
      <w:r w:rsidRPr="00625805">
        <w:t>Los proyectos</w:t>
      </w:r>
      <w:r w:rsidR="0095564E">
        <w:t xml:space="preserve"> se deben presentar en </w:t>
      </w:r>
      <w:r w:rsidR="00871CE7">
        <w:t xml:space="preserve">el </w:t>
      </w:r>
      <w:r w:rsidR="0095564E">
        <w:t>for</w:t>
      </w:r>
      <w:r w:rsidR="00871CE7">
        <w:t xml:space="preserve">mulario oficial del Concurso de investigación interno. </w:t>
      </w:r>
    </w:p>
    <w:p w14:paraId="05283DD0" w14:textId="77777777" w:rsidR="00871CE7" w:rsidRDefault="00871CE7" w:rsidP="0095564E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El investigador deberá adjuntar su </w:t>
      </w:r>
      <w:proofErr w:type="spellStart"/>
      <w:r>
        <w:t>curriculum</w:t>
      </w:r>
      <w:proofErr w:type="spellEnd"/>
      <w:r>
        <w:t xml:space="preserve"> usando el formato CV oficial de la UBO. La evaluación del CV del investigador se realizará considerando el Grupo de Estudio, específicamente en la valoración de sus publicaciones.</w:t>
      </w:r>
    </w:p>
    <w:p w14:paraId="6FE863BD" w14:textId="6781FCB0" w:rsidR="0095564E" w:rsidRDefault="00871CE7" w:rsidP="0095564E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Los proyectos deben </w:t>
      </w:r>
      <w:r w:rsidR="00E3267B" w:rsidRPr="00625805">
        <w:t xml:space="preserve">ser </w:t>
      </w:r>
      <w:r w:rsidR="0095564E">
        <w:t>remitidos</w:t>
      </w:r>
      <w:r w:rsidR="00E3267B" w:rsidRPr="00625805">
        <w:t xml:space="preserve"> por correo electrónico</w:t>
      </w:r>
      <w:r w:rsidR="0095564E">
        <w:t xml:space="preserve"> al Director de Investigación </w:t>
      </w:r>
      <w:r w:rsidR="00115CE1">
        <w:t>y Doctorados</w:t>
      </w:r>
      <w:r w:rsidR="00E3267B" w:rsidRPr="00625805">
        <w:t>.</w:t>
      </w:r>
      <w:r w:rsidR="0095564E">
        <w:t xml:space="preserve"> La fecha y hora límite es el </w:t>
      </w:r>
      <w:r w:rsidR="00115CE1">
        <w:t>5</w:t>
      </w:r>
      <w:r w:rsidR="0095564E">
        <w:t xml:space="preserve"> de ma</w:t>
      </w:r>
      <w:r w:rsidR="00115CE1">
        <w:t>rzo</w:t>
      </w:r>
      <w:r w:rsidR="0095564E">
        <w:t xml:space="preserve"> del 20</w:t>
      </w:r>
      <w:r w:rsidR="00115CE1">
        <w:t>20</w:t>
      </w:r>
      <w:r w:rsidR="0095564E">
        <w:t xml:space="preserve"> a las 22.00 hrs.</w:t>
      </w:r>
    </w:p>
    <w:p w14:paraId="0531CF9A" w14:textId="735CF8D1" w:rsidR="00E3267B" w:rsidRPr="00625805" w:rsidRDefault="00E3267B" w:rsidP="0095564E">
      <w:pPr>
        <w:widowControl w:val="0"/>
        <w:autoSpaceDE w:val="0"/>
        <w:autoSpaceDN w:val="0"/>
        <w:adjustRightInd w:val="0"/>
        <w:spacing w:after="240"/>
        <w:jc w:val="both"/>
      </w:pPr>
      <w:r w:rsidRPr="00625805">
        <w:t>La aprobación o rechazo de los proyectos</w:t>
      </w:r>
      <w:r w:rsidR="0095564E">
        <w:t>, así como su evaluación,</w:t>
      </w:r>
      <w:r w:rsidRPr="00625805">
        <w:t xml:space="preserve"> será comunicada</w:t>
      </w:r>
      <w:r w:rsidR="0095564E">
        <w:t>,</w:t>
      </w:r>
      <w:r w:rsidRPr="00625805">
        <w:t xml:space="preserve"> por escr</w:t>
      </w:r>
      <w:r w:rsidR="0095564E">
        <w:t xml:space="preserve">ito y por correo electrónico, al investigador responsable el </w:t>
      </w:r>
      <w:r w:rsidR="00115CE1">
        <w:t>2</w:t>
      </w:r>
      <w:r w:rsidR="0095564E">
        <w:t xml:space="preserve">5 de </w:t>
      </w:r>
      <w:r w:rsidR="00115CE1">
        <w:t>marzo</w:t>
      </w:r>
      <w:r w:rsidR="0095564E">
        <w:t xml:space="preserve"> del 20</w:t>
      </w:r>
      <w:r w:rsidR="00115CE1">
        <w:t>20</w:t>
      </w:r>
      <w:r w:rsidR="0095564E">
        <w:t>.</w:t>
      </w:r>
    </w:p>
    <w:p w14:paraId="4AEB7C34" w14:textId="77777777" w:rsidR="007E37CD" w:rsidRDefault="007E37CD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</w:p>
    <w:p w14:paraId="4F1405D7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4E30E006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440F14A1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11974526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7344826A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264C24E1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522F95B1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068E8BDC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25982142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5840AC81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4426AE4D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1AF986DB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71B752F3" w14:textId="77777777" w:rsidR="0095564E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</w:p>
    <w:p w14:paraId="4708BB85" w14:textId="2808B928" w:rsidR="007E37CD" w:rsidRPr="009E4981" w:rsidRDefault="0095564E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Anexo 1</w:t>
      </w:r>
    </w:p>
    <w:p w14:paraId="350EB4FC" w14:textId="77777777" w:rsidR="007E37CD" w:rsidRDefault="007E37CD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</w:p>
    <w:p w14:paraId="54E0F980" w14:textId="77777777" w:rsidR="007E37CD" w:rsidRPr="006E3F39" w:rsidRDefault="007E37CD" w:rsidP="00DB7078">
      <w:pPr>
        <w:jc w:val="both"/>
        <w:rPr>
          <w:rFonts w:ascii="Arial" w:hAnsi="Arial" w:cs="Arial"/>
          <w:sz w:val="20"/>
          <w:szCs w:val="20"/>
        </w:rPr>
      </w:pPr>
      <w:r w:rsidRPr="006E3F39">
        <w:rPr>
          <w:rFonts w:ascii="Arial" w:hAnsi="Arial" w:cs="Arial"/>
          <w:sz w:val="20"/>
          <w:szCs w:val="20"/>
        </w:rPr>
        <w:t>PUBLICACI</w:t>
      </w:r>
      <w:r>
        <w:rPr>
          <w:rFonts w:ascii="Arial" w:hAnsi="Arial" w:cs="Arial"/>
          <w:sz w:val="20"/>
          <w:szCs w:val="20"/>
        </w:rPr>
        <w:t>Ó</w:t>
      </w:r>
      <w:r w:rsidRPr="006E3F3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EN REVISTAS</w:t>
      </w:r>
      <w:r w:rsidRPr="006E3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578"/>
        <w:gridCol w:w="1444"/>
        <w:gridCol w:w="1688"/>
        <w:gridCol w:w="1190"/>
        <w:gridCol w:w="1179"/>
        <w:gridCol w:w="1190"/>
      </w:tblGrid>
      <w:tr w:rsidR="005F21C8" w:rsidRPr="0090002A" w14:paraId="1B7A2DCE" w14:textId="77777777" w:rsidTr="0095564E">
        <w:trPr>
          <w:trHeight w:val="576"/>
        </w:trPr>
        <w:tc>
          <w:tcPr>
            <w:tcW w:w="2628" w:type="dxa"/>
            <w:vAlign w:val="center"/>
          </w:tcPr>
          <w:p w14:paraId="55D088A7" w14:textId="42663850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Autores</w:t>
            </w:r>
          </w:p>
        </w:tc>
        <w:tc>
          <w:tcPr>
            <w:tcW w:w="1592" w:type="dxa"/>
          </w:tcPr>
          <w:p w14:paraId="4795757E" w14:textId="77777777" w:rsidR="005F21C8" w:rsidRDefault="005F21C8" w:rsidP="00DB7078">
            <w:pPr>
              <w:jc w:val="both"/>
              <w:rPr>
                <w:rFonts w:ascii="Arial" w:hAnsi="Arial" w:cs="Arial"/>
              </w:rPr>
            </w:pPr>
          </w:p>
          <w:p w14:paraId="3F0A496D" w14:textId="2B8C7C9E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revista</w:t>
            </w:r>
          </w:p>
        </w:tc>
        <w:tc>
          <w:tcPr>
            <w:tcW w:w="1352" w:type="dxa"/>
            <w:vAlign w:val="center"/>
          </w:tcPr>
          <w:p w14:paraId="3001E44F" w14:textId="77777777" w:rsidR="001C6E3F" w:rsidRDefault="001C6E3F" w:rsidP="00DB7078">
            <w:pPr>
              <w:jc w:val="both"/>
              <w:rPr>
                <w:rFonts w:ascii="Arial" w:hAnsi="Arial" w:cs="Arial"/>
              </w:rPr>
            </w:pPr>
          </w:p>
          <w:p w14:paraId="3C1750C0" w14:textId="26AC6779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  <w:r w:rsidRPr="0090002A">
              <w:rPr>
                <w:rFonts w:ascii="Arial" w:hAnsi="Arial" w:cs="Arial"/>
              </w:rPr>
              <w:t>Año de Publicación</w:t>
            </w:r>
          </w:p>
        </w:tc>
        <w:tc>
          <w:tcPr>
            <w:tcW w:w="1701" w:type="dxa"/>
            <w:vAlign w:val="center"/>
          </w:tcPr>
          <w:p w14:paraId="43625FCC" w14:textId="77777777" w:rsidR="001C6E3F" w:rsidRDefault="001C6E3F" w:rsidP="00DB7078">
            <w:pPr>
              <w:jc w:val="both"/>
              <w:rPr>
                <w:rFonts w:ascii="Arial" w:hAnsi="Arial" w:cs="Arial"/>
              </w:rPr>
            </w:pPr>
          </w:p>
          <w:p w14:paraId="6581A6AC" w14:textId="2F9D37F1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Revista WOS o SCOPUS </w:t>
            </w:r>
          </w:p>
        </w:tc>
        <w:tc>
          <w:tcPr>
            <w:tcW w:w="1193" w:type="dxa"/>
          </w:tcPr>
          <w:p w14:paraId="4BC93E8F" w14:textId="77777777" w:rsidR="005F21C8" w:rsidRDefault="005F21C8" w:rsidP="00DB7078">
            <w:pPr>
              <w:jc w:val="both"/>
              <w:rPr>
                <w:rFonts w:ascii="Arial" w:hAnsi="Arial" w:cs="Arial"/>
              </w:rPr>
            </w:pPr>
          </w:p>
          <w:p w14:paraId="39E3F4EB" w14:textId="77777777" w:rsidR="005F21C8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 de Impacto</w:t>
            </w:r>
          </w:p>
        </w:tc>
        <w:tc>
          <w:tcPr>
            <w:tcW w:w="1194" w:type="dxa"/>
          </w:tcPr>
          <w:p w14:paraId="43861D3F" w14:textId="77777777" w:rsidR="005F21C8" w:rsidRDefault="005F21C8" w:rsidP="00DB7078">
            <w:pPr>
              <w:jc w:val="both"/>
              <w:rPr>
                <w:rFonts w:ascii="Arial" w:hAnsi="Arial" w:cs="Arial"/>
              </w:rPr>
            </w:pPr>
          </w:p>
          <w:p w14:paraId="5B189219" w14:textId="77777777" w:rsidR="005F21C8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C.* </w:t>
            </w:r>
          </w:p>
          <w:p w14:paraId="1A7938EE" w14:textId="58A9BF2C" w:rsidR="005F21C8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P. A.**</w:t>
            </w:r>
          </w:p>
        </w:tc>
        <w:tc>
          <w:tcPr>
            <w:tcW w:w="1194" w:type="dxa"/>
          </w:tcPr>
          <w:p w14:paraId="0271E159" w14:textId="2DB882A8" w:rsidR="005F21C8" w:rsidRDefault="005F21C8" w:rsidP="00DB7078">
            <w:pPr>
              <w:jc w:val="both"/>
              <w:rPr>
                <w:rFonts w:ascii="Arial" w:hAnsi="Arial" w:cs="Arial"/>
              </w:rPr>
            </w:pPr>
          </w:p>
          <w:p w14:paraId="67DF596B" w14:textId="0317CFA8" w:rsidR="005F21C8" w:rsidRDefault="005F21C8" w:rsidP="00DB7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</w:t>
            </w:r>
          </w:p>
        </w:tc>
      </w:tr>
      <w:tr w:rsidR="005F21C8" w:rsidRPr="0090002A" w14:paraId="55741810" w14:textId="77777777" w:rsidTr="0095564E">
        <w:trPr>
          <w:trHeight w:val="576"/>
        </w:trPr>
        <w:tc>
          <w:tcPr>
            <w:tcW w:w="2628" w:type="dxa"/>
            <w:vAlign w:val="center"/>
          </w:tcPr>
          <w:p w14:paraId="393BF581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5545B9E8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C461C25" w14:textId="08AFA47B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8B29FD1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37A9EFBD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3C26468E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0D5F0532" w14:textId="3789CA65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</w:tr>
      <w:tr w:rsidR="005F21C8" w:rsidRPr="0090002A" w14:paraId="63942A74" w14:textId="77777777" w:rsidTr="0095564E">
        <w:trPr>
          <w:trHeight w:val="576"/>
        </w:trPr>
        <w:tc>
          <w:tcPr>
            <w:tcW w:w="2628" w:type="dxa"/>
            <w:vAlign w:val="center"/>
          </w:tcPr>
          <w:p w14:paraId="61CC0882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0064869A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B6F563D" w14:textId="6EF9CE19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94C5B65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715B07A2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3B32D0A5" w14:textId="777777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4C40B8CD" w14:textId="236D8277" w:rsidR="005F21C8" w:rsidRPr="0090002A" w:rsidRDefault="005F21C8" w:rsidP="00DB70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2D8553" w14:textId="62CD7138" w:rsidR="007E37CD" w:rsidRPr="005F21C8" w:rsidRDefault="005F21C8" w:rsidP="0095564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F21C8">
        <w:rPr>
          <w:rFonts w:ascii="Arial" w:hAnsi="Arial" w:cs="Arial"/>
        </w:rPr>
        <w:t>Autor Correspondiente</w:t>
      </w:r>
    </w:p>
    <w:p w14:paraId="079A97C8" w14:textId="7E7D67A7" w:rsidR="005F21C8" w:rsidRPr="005F21C8" w:rsidRDefault="005F21C8" w:rsidP="0095564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** Primer Autor</w:t>
      </w:r>
    </w:p>
    <w:p w14:paraId="4C78E473" w14:textId="77777777" w:rsidR="007E37CD" w:rsidRDefault="007E37CD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</w:p>
    <w:p w14:paraId="527FF657" w14:textId="77777777" w:rsidR="000C636E" w:rsidRPr="000C636E" w:rsidRDefault="000C636E" w:rsidP="000C636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</w:p>
    <w:p w14:paraId="103EC24D" w14:textId="77777777" w:rsidR="00806EC9" w:rsidRPr="00C31172" w:rsidRDefault="00806EC9" w:rsidP="00DB707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</w:p>
    <w:sectPr w:rsidR="00806EC9" w:rsidRPr="00C31172" w:rsidSect="00E8780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030C" w14:textId="77777777" w:rsidR="0045253B" w:rsidRDefault="0045253B" w:rsidP="00EC57A9">
      <w:r>
        <w:separator/>
      </w:r>
    </w:p>
  </w:endnote>
  <w:endnote w:type="continuationSeparator" w:id="0">
    <w:p w14:paraId="025AE747" w14:textId="77777777" w:rsidR="0045253B" w:rsidRDefault="0045253B" w:rsidP="00E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13B4" w14:textId="77777777" w:rsidR="0045253B" w:rsidRDefault="0045253B" w:rsidP="00EC57A9">
      <w:r>
        <w:separator/>
      </w:r>
    </w:p>
  </w:footnote>
  <w:footnote w:type="continuationSeparator" w:id="0">
    <w:p w14:paraId="20BE4BD5" w14:textId="77777777" w:rsidR="0045253B" w:rsidRDefault="0045253B" w:rsidP="00EC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EBB3" w14:textId="77777777" w:rsidR="009E4981" w:rsidRDefault="009E4981">
    <w:pPr>
      <w:pStyle w:val="Encabezado"/>
    </w:pPr>
    <w:r>
      <w:rPr>
        <w:noProof/>
        <w:lang w:val="es-CL" w:eastAsia="es-CL"/>
      </w:rPr>
      <w:drawing>
        <wp:inline distT="0" distB="0" distL="0" distR="0" wp14:anchorId="77E19C96" wp14:editId="25411C6E">
          <wp:extent cx="1603375" cy="833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311"/>
    <w:multiLevelType w:val="hybridMultilevel"/>
    <w:tmpl w:val="D018D8AE"/>
    <w:lvl w:ilvl="0" w:tplc="BCC0C608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77C4"/>
    <w:multiLevelType w:val="hybridMultilevel"/>
    <w:tmpl w:val="7D6C0806"/>
    <w:lvl w:ilvl="0" w:tplc="A7BC88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64F"/>
    <w:multiLevelType w:val="hybridMultilevel"/>
    <w:tmpl w:val="A482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35EC"/>
    <w:multiLevelType w:val="hybridMultilevel"/>
    <w:tmpl w:val="57FCFA56"/>
    <w:lvl w:ilvl="0" w:tplc="DE98FE4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12578"/>
    <w:multiLevelType w:val="hybridMultilevel"/>
    <w:tmpl w:val="D434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7855"/>
    <w:multiLevelType w:val="hybridMultilevel"/>
    <w:tmpl w:val="BD726342"/>
    <w:lvl w:ilvl="0" w:tplc="6F2C594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5088"/>
    <w:multiLevelType w:val="hybridMultilevel"/>
    <w:tmpl w:val="8E1C2EA8"/>
    <w:lvl w:ilvl="0" w:tplc="A9FA8B0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A82"/>
    <w:multiLevelType w:val="hybridMultilevel"/>
    <w:tmpl w:val="6B82CB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3DF6"/>
    <w:multiLevelType w:val="hybridMultilevel"/>
    <w:tmpl w:val="A0A8D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A9"/>
    <w:rsid w:val="00002292"/>
    <w:rsid w:val="000C636E"/>
    <w:rsid w:val="000C7748"/>
    <w:rsid w:val="00115CE1"/>
    <w:rsid w:val="00157E2A"/>
    <w:rsid w:val="0017239C"/>
    <w:rsid w:val="001A2EF9"/>
    <w:rsid w:val="001C6E3F"/>
    <w:rsid w:val="001E303B"/>
    <w:rsid w:val="001F0B78"/>
    <w:rsid w:val="002807C9"/>
    <w:rsid w:val="002B1BC0"/>
    <w:rsid w:val="002C50D7"/>
    <w:rsid w:val="002F2EAA"/>
    <w:rsid w:val="0034716C"/>
    <w:rsid w:val="0038748A"/>
    <w:rsid w:val="003C5D66"/>
    <w:rsid w:val="003D68DC"/>
    <w:rsid w:val="0043120B"/>
    <w:rsid w:val="004419D9"/>
    <w:rsid w:val="0045253B"/>
    <w:rsid w:val="00457963"/>
    <w:rsid w:val="0050725E"/>
    <w:rsid w:val="00545429"/>
    <w:rsid w:val="005770C8"/>
    <w:rsid w:val="005D021D"/>
    <w:rsid w:val="005E02C7"/>
    <w:rsid w:val="005F21C8"/>
    <w:rsid w:val="00620B62"/>
    <w:rsid w:val="00625805"/>
    <w:rsid w:val="00654DAD"/>
    <w:rsid w:val="006754B8"/>
    <w:rsid w:val="006C569A"/>
    <w:rsid w:val="00704E85"/>
    <w:rsid w:val="007606FC"/>
    <w:rsid w:val="007E37CD"/>
    <w:rsid w:val="007F59C5"/>
    <w:rsid w:val="008066D0"/>
    <w:rsid w:val="00806EC9"/>
    <w:rsid w:val="00807EEE"/>
    <w:rsid w:val="00840533"/>
    <w:rsid w:val="008435F4"/>
    <w:rsid w:val="00847EC8"/>
    <w:rsid w:val="00871CE7"/>
    <w:rsid w:val="008911AF"/>
    <w:rsid w:val="00927C81"/>
    <w:rsid w:val="009407B4"/>
    <w:rsid w:val="0095564E"/>
    <w:rsid w:val="0095629C"/>
    <w:rsid w:val="00982944"/>
    <w:rsid w:val="0099060D"/>
    <w:rsid w:val="009E4981"/>
    <w:rsid w:val="009F3392"/>
    <w:rsid w:val="009F46C6"/>
    <w:rsid w:val="00A57DAD"/>
    <w:rsid w:val="00A737E1"/>
    <w:rsid w:val="00AC58E4"/>
    <w:rsid w:val="00AD124A"/>
    <w:rsid w:val="00AF5902"/>
    <w:rsid w:val="00B14ACD"/>
    <w:rsid w:val="00B26B34"/>
    <w:rsid w:val="00B335E0"/>
    <w:rsid w:val="00B671A0"/>
    <w:rsid w:val="00B9748B"/>
    <w:rsid w:val="00BC6BCD"/>
    <w:rsid w:val="00BD0555"/>
    <w:rsid w:val="00C001FE"/>
    <w:rsid w:val="00C31172"/>
    <w:rsid w:val="00C6357F"/>
    <w:rsid w:val="00C77CE7"/>
    <w:rsid w:val="00CA655F"/>
    <w:rsid w:val="00CD1C3D"/>
    <w:rsid w:val="00DB7078"/>
    <w:rsid w:val="00DC7BFF"/>
    <w:rsid w:val="00E3267B"/>
    <w:rsid w:val="00E57A4B"/>
    <w:rsid w:val="00E624B1"/>
    <w:rsid w:val="00E821A0"/>
    <w:rsid w:val="00E87807"/>
    <w:rsid w:val="00EC57A9"/>
    <w:rsid w:val="00F0565D"/>
    <w:rsid w:val="00F12C3D"/>
    <w:rsid w:val="00F92D5B"/>
    <w:rsid w:val="00FA37DA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6D5B"/>
  <w14:defaultImageDpi w14:val="300"/>
  <w15:docId w15:val="{407DC488-5C0D-4519-A6DE-4EB1E94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7A9"/>
  </w:style>
  <w:style w:type="paragraph" w:styleId="Piedepgina">
    <w:name w:val="footer"/>
    <w:basedOn w:val="Normal"/>
    <w:link w:val="Piedepgina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A9"/>
  </w:style>
  <w:style w:type="paragraph" w:styleId="Textodeglobo">
    <w:name w:val="Balloon Text"/>
    <w:basedOn w:val="Normal"/>
    <w:link w:val="TextodegloboCar"/>
    <w:uiPriority w:val="99"/>
    <w:semiHidden/>
    <w:unhideWhenUsed/>
    <w:rsid w:val="00EC5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7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B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67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06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6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60D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50725E"/>
  </w:style>
  <w:style w:type="character" w:styleId="Textoennegrita">
    <w:name w:val="Strong"/>
    <w:basedOn w:val="Fuentedeprrafopredeter"/>
    <w:uiPriority w:val="22"/>
    <w:qFormat/>
    <w:rsid w:val="0050725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2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1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85ED-A623-4CB1-B43A-ECAC89C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2257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ECHEVERRIA ECHEVERRIA</dc:creator>
  <cp:keywords/>
  <dc:description/>
  <cp:lastModifiedBy>Jorge Van de Wyngard Moyano</cp:lastModifiedBy>
  <cp:revision>5</cp:revision>
  <dcterms:created xsi:type="dcterms:W3CDTF">2020-01-06T18:33:00Z</dcterms:created>
  <dcterms:modified xsi:type="dcterms:W3CDTF">2020-01-08T15:57:00Z</dcterms:modified>
</cp:coreProperties>
</file>